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BFStrSonGebV — Inkrafttreten</w:t>
      </w:r>
    </w:p>
    <w:p>
      <w:r>
        <w:rPr>
          <w:color w:val="555555"/>
          <w:sz w:val="18"/>
        </w:rPr>
        <w:t xml:space="preserve">Bundesfernstraßen-Sondernutzungsgebühren-Verordnung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BFStrSonGebV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https://recht.nulegal.eu/gesetze/BFStrSonGebV/11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