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BFStrMG — (zu § 14 Absatz 1)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2551)</w:t>
      </w:r>
    </w:p>
    <w:p>
      <w:r>
        <w:t xml:space="preserve">Mautsätze im Zeitraum vom 1. Juli 2003 bis zum Ablauf des 31. August 2007</w:t>
      </w:r>
    </w:p>
    <w:p>
      <w:pPr>
        <w:ind w:left="420"/>
      </w:pPr>
      <w:r>
        <w:t xml:space="preserve">1. Die Maut pro Kilometer beträgt für mautpflichtige Fahrzeuge oder Fahrzeugkombinationen mit bis zu drei Achsen</w:t>
      </w:r>
    </w:p>
    <w:p>
      <w:pPr>
        <w:ind w:left="780"/>
      </w:pPr>
      <w:r>
        <w:t xml:space="preserve">a) 0,09 Euro in der Kategorie A,</w:t>
      </w:r>
    </w:p>
    <w:p>
      <w:pPr>
        <w:ind w:left="780"/>
      </w:pPr>
      <w:r>
        <w:t xml:space="preserve">b) 0,11 Euro in der Kategorie B,</w:t>
      </w:r>
    </w:p>
    <w:p>
      <w:pPr>
        <w:ind w:left="780"/>
      </w:pPr>
      <w:r>
        <w:t xml:space="preserve">c) 0,13 Euro in der Kategorie C.</w:t>
      </w:r>
    </w:p>
    <w:p>
      <w:pPr>
        <w:ind w:left="420"/>
      </w:pPr>
      <w:r>
        <w:t xml:space="preserve">2. Die Maut pro Kilometer beträgt für mautpflichtige Fahrzeuge oder Fahrzeugkombinationen mit vier oder mehr Achsen</w:t>
      </w:r>
    </w:p>
    <w:p>
      <w:pPr>
        <w:ind w:left="780"/>
      </w:pPr>
      <w:r>
        <w:t xml:space="preserve">a) 0,10 Euro in der Kategorie A,</w:t>
      </w:r>
    </w:p>
    <w:p>
      <w:pPr>
        <w:ind w:left="780"/>
      </w:pPr>
      <w:r>
        <w:t xml:space="preserve">b) 0,12 Euro in der Kategorie B,</w:t>
      </w:r>
    </w:p>
    <w:p>
      <w:pPr>
        <w:ind w:left="780"/>
      </w:pPr>
      <w:r>
        <w:t xml:space="preserve">c) 0,14 Euro in der Kategorie C.</w:t>
      </w:r>
    </w:p>
    <w:p>
      <w:pPr>
        <w:ind w:left="420"/>
      </w:pPr>
      <w:r>
        <w:t xml:space="preserve">3. Fahrzeuge nach § 1 Absatz 1 werden den in den Nummern 1 und 2 aufgeführten Kategorien auf Grund ihrer Emissionsklasse nach § 48 in Verbindung mit Anlage XIV der Straßenverkehrs-Zulassungs-Ordnung wie folgt zugeordnet:</w:t>
      </w:r>
    </w:p>
    <w:p>
      <w:pPr>
        <w:ind w:left="780"/>
      </w:pPr>
      <w:r>
        <w:t xml:space="preserve">a) im Zeitraum vom 1. Juli 2003 bis zum Ablauf des 30. September 2006</w:t>
      </w:r>
    </w:p>
    <w:p>
      <w:pPr>
        <w:ind w:left="1140"/>
      </w:pPr>
      <w:r>
        <w:t xml:space="preserve">Kategorie A Fahrzeuge der Schadstoffklassen S 4, S 5 und der EEV Klasse 1,</w:t>
      </w:r>
    </w:p>
    <w:p>
      <w:pPr>
        <w:ind w:left="1140"/>
      </w:pPr>
      <w:r>
        <w:t xml:space="preserve">Kategorie B Fahrzeuge der Schadstoffklassen S 3 und S 2,</w:t>
      </w:r>
    </w:p>
    <w:p>
      <w:pPr>
        <w:ind w:left="1140"/>
      </w:pPr>
      <w:r>
        <w:t xml:space="preserve">Kategorie C Fahrzeuge der Schadstoffklasse S 1 und Fahrzeuge, die keiner Schadstoffklasse der Anlage XIV der Straßenverkehrs-Zulassungs-Ordnung angehören;</w:t>
      </w:r>
    </w:p>
    <w:p>
      <w:pPr>
        <w:ind w:left="780"/>
      </w:pPr>
      <w:r>
        <w:t xml:space="preserve">b) im Zeitraum vom 1. Oktober 2006 bis zum Ablauf des 31. August 2007</w:t>
      </w:r>
    </w:p>
    <w:p>
      <w:pPr>
        <w:ind w:left="1140"/>
      </w:pPr>
      <w:r>
        <w:t xml:space="preserve">Kategorie A Fahrzeuge der Schadstoffklasse S 5 und der EEV Klasse 1,</w:t>
      </w:r>
    </w:p>
    <w:p>
      <w:pPr>
        <w:ind w:left="1140"/>
      </w:pPr>
      <w:r>
        <w:t xml:space="preserve">Kategorie B Fahrzeuge der Schadstoffklassen S 4 und 3,</w:t>
      </w:r>
    </w:p>
    <w:p>
      <w:pPr>
        <w:ind w:left="1140"/>
      </w:pPr>
      <w:r>
        <w:t xml:space="preserve">Kategorie C Fahrzeuge der Schadstoffklassen S 2, S 1 und Fahrzeuge, die keiner Schadstoffklasse der Anlage XIV der Straßenverkehrs-Zulassungs-Ordnung angehören.</w:t>
      </w:r>
    </w:p>
    <w:p>
      <w:r>
        <w:rPr>
          <w:color w:val="555555"/>
          <w:sz w:val="17"/>
        </w:rPr>
        <w:t xml:space="preserve">Zitiervorschlag: Anlage 2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