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10 BFStrMG — (zu § 14 Absatz 9) Mautsätze im Zeitraum vom 1. Januar 2023 bis zum 30. November 2023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01.12.2023 (konsolidierte Textfassung, kein amtliches Inkrafttretensdatum)</w:t>
      </w:r>
    </w:p>
    <w:p>
      <w:r>
        <w:t xml:space="preserve">(Fundstelle: BGBl. 2023 I Nr. 315, S. 6 – 7)</w:t>
      </w:r>
    </w:p>
    <w:p>
      <w:pPr>
        <w:ind w:left="420"/>
      </w:pPr>
      <w:r>
        <w:t xml:space="preserve">1. Mautteilsatz für die Infrastrukturkosten je Kilometer nach § 3 Absatz 1 Nummer 1 für mautpflichtige Fahrzeuge oder Fahrzeugkombinationen</w:t>
      </w:r>
    </w:p>
    <w:p>
      <w:pPr>
        <w:ind w:left="780"/>
      </w:pPr>
      <w:r>
        <w:t xml:space="preserve">a) mit einem zulässigen Gesamtgewicht von 7,5 Tonnen bis unter 12 Tonnen unabhängig von der Anzahl der Achsen 0,067 Euro,</w:t>
      </w:r>
    </w:p>
    <w:p>
      <w:pPr>
        <w:ind w:left="780"/>
      </w:pPr>
      <w:r>
        <w:t xml:space="preserve">b) mit einem zulässigen Gesamtgewicht von 12 Tonnen bis 18 Tonnen unabhängig von der Anzahl der Achsen 0,109 Euro,</w:t>
      </w:r>
    </w:p>
    <w:p>
      <w:pPr>
        <w:ind w:left="780"/>
      </w:pPr>
      <w:r>
        <w:t xml:space="preserve">c) mit einem zulässigen Gesamtgewicht von mehr als 18 Tonnen sowie bis zu drei Achsen 0,143 Euro,</w:t>
      </w:r>
    </w:p>
    <w:p>
      <w:pPr>
        <w:ind w:left="780"/>
      </w:pPr>
      <w:r>
        <w:t xml:space="preserve">d) mit einem zulässigen Gesamtgewicht von mehr als 18 Tonnen sowie vier oder mehr Achsen 0,155 Euro.</w:t>
      </w:r>
    </w:p>
    <w:p>
      <w:pPr>
        <w:ind w:left="420"/>
      </w:pPr>
      <w:r>
        <w:t xml:space="preserve">2. Mautteilsatz für die verursachten Luftverschmutzungskosten je Kilometer nach § 3 Absatz 1 Nummer 2</w:t>
      </w:r>
    </w:p>
    <w:p>
      <w:pPr>
        <w:ind w:left="780"/>
      </w:pPr>
      <w:r>
        <w:t xml:space="preserve">a) für mautpflichtige Fahrzeuge oder Fahrzeugkombinationen differenziert nach zulässigem Gesamtgewicht und Achsanzahl in Euro:</w:t>
      </w:r>
    </w:p>
    <w:p>
      <w:r>
        <w:rPr>
          <w:rFonts w:ascii="Courier New" w:hAnsi="Courier New"/>
          <w:sz w:val="17"/>
        </w:rPr>
        <w:t xml:space="preserve">Kategorie    7,5 bis &lt; 12 t    12 bis 18 t    &gt; 18 t mitbis zu 3 Achsen    &gt; 18 t mit4 Achsen oder mehr</w:t>
      </w:r>
    </w:p>
    <w:p>
      <w:r>
        <w:rPr>
          <w:rFonts w:ascii="Courier New" w:hAnsi="Courier New"/>
          <w:sz w:val="17"/>
        </w:rPr>
        <w:t xml:space="preserve">A    0,015    0,015    0,022    0,023</w:t>
      </w:r>
    </w:p>
    <w:p>
      <w:r>
        <w:rPr>
          <w:rFonts w:ascii="Courier New" w:hAnsi="Courier New"/>
          <w:sz w:val="17"/>
        </w:rPr>
        <w:t xml:space="preserve">B    0,043    0,052    0,062    0,062</w:t>
      </w:r>
    </w:p>
    <w:p>
      <w:r>
        <w:rPr>
          <w:rFonts w:ascii="Courier New" w:hAnsi="Courier New"/>
          <w:sz w:val="17"/>
        </w:rPr>
        <w:t xml:space="preserve">C    0,059    0,063    0,080    0,087</w:t>
      </w:r>
    </w:p>
    <w:p>
      <w:r>
        <w:rPr>
          <w:rFonts w:ascii="Courier New" w:hAnsi="Courier New"/>
          <w:sz w:val="17"/>
        </w:rPr>
        <w:t xml:space="preserve">D    0,088    0,101    0,134    0,149</w:t>
      </w:r>
    </w:p>
    <w:p>
      <w:r>
        <w:rPr>
          <w:rFonts w:ascii="Courier New" w:hAnsi="Courier New"/>
          <w:sz w:val="17"/>
        </w:rPr>
        <w:t xml:space="preserve">E    0,113    0,121    0,164    0,182</w:t>
      </w:r>
    </w:p>
    <w:p>
      <w:r>
        <w:rPr>
          <w:rFonts w:ascii="Courier New" w:hAnsi="Courier New"/>
          <w:sz w:val="17"/>
        </w:rPr>
        <w:t xml:space="preserve">F    0,114    0,123    0,169    0,187</w:t>
      </w:r>
    </w:p>
    <w:p>
      <w:pPr>
        <w:ind w:left="780"/>
      </w:pPr>
      <w:r>
        <w:t xml:space="preserve">b) Zuordnung der Fahrzeuge nach § 1 Absatz 1 zu den in Buchstabe a aufgeführten Kategorien auf Grund ihrer Emissionsklasse nach § 48 in Verbindung mit Anlage XIV der Straßenverkehrs-Zulassungs-Ordnung:</w:t>
      </w:r>
    </w:p>
    <w:p>
      <w:pPr>
        <w:ind w:left="1500"/>
      </w:pPr>
      <w:r>
        <w:t xml:space="preserve">Kategorie A Fahrzeuge der Schadstoffklasse S 6,</w:t>
      </w:r>
    </w:p>
    <w:p>
      <w:pPr>
        <w:ind w:left="1500"/>
      </w:pPr>
      <w:r>
        <w:t xml:space="preserve">Kategorie B Fahrzeuge der EEV Klasse 1 und der Schadstoffklasse S 5,</w:t>
      </w:r>
    </w:p>
    <w:p>
      <w:pPr>
        <w:ind w:left="1500"/>
      </w:pPr>
      <w:r>
        <w:t xml:space="preserve">Kategorie C Fahrzeuge der Schadstoffklasse S 4 sowie Fahrzeuge der Schadstoffklasse S 3, die der Partikelminderungsklasse PMK 2 oder höher im Sinne der Anlage XXVII der Straßenverkehrs-Zulassungs-Ordnung angehören,</w:t>
      </w:r>
    </w:p>
    <w:p>
      <w:pPr>
        <w:ind w:left="1500"/>
      </w:pPr>
      <w:r>
        <w:t xml:space="preserve">Kategorie D Fahrzeuge der Schadstoffklasse S 3 sowie Fahrzeuge der Schadstoffklasse S 2, die der Partikelminderungsklasse PMK 1 oder höher im Sinne der Anlage XXVII der Straßenverkehrs-Zulassungs-Ordnung angehören,</w:t>
      </w:r>
    </w:p>
    <w:p>
      <w:pPr>
        <w:ind w:left="1500"/>
      </w:pPr>
      <w:r>
        <w:t xml:space="preserve">Kategorie E Fahrzeuge der Schadstoffklasse S 2,</w:t>
      </w:r>
    </w:p>
    <w:p>
      <w:pPr>
        <w:ind w:left="1500"/>
      </w:pPr>
      <w:r>
        <w:t xml:space="preserve">Kategorie F Fahrzeuge der Schadstoffklasse S 1 sowie Fahrzeuge, die keiner Schadstoffklasse der Anlage XIV der Straßenverkehrs-Zulassungs-Ordnung angehören.</w:t>
      </w:r>
    </w:p>
    <w:p>
      <w:pPr>
        <w:ind w:left="420"/>
      </w:pPr>
      <w:r>
        <w:t xml:space="preserve">3. Mautteilsatz für die verursachten Lärmbelastungskosten differenziert nach zulässigem Gesamtgewicht und Achsanzahl je Kilometer nach § 3 Absatz 1 Nummer 3 in Euro</w:t>
      </w:r>
    </w:p>
    <w:p>
      <w:r>
        <w:rPr>
          <w:rFonts w:ascii="Courier New" w:hAnsi="Courier New"/>
          <w:sz w:val="17"/>
        </w:rPr>
        <w:t xml:space="preserve">7,5 bis &lt; 12 t    12 bis 18 t    &gt; 18 t mitbis zu 3 Achsen    &gt; 18 t mit4 Achsen oder mehr</w:t>
      </w:r>
    </w:p>
    <w:p>
      <w:r>
        <w:rPr>
          <w:rFonts w:ascii="Courier New" w:hAnsi="Courier New"/>
          <w:sz w:val="17"/>
        </w:rPr>
        <w:t xml:space="preserve">0,016    0,016    0,016    0,012</w:t>
      </w:r>
    </w:p>
    <w:p>
      <w:r>
        <w:rPr>
          <w:color w:val="555555"/>
          <w:sz w:val="17"/>
        </w:rPr>
        <w:t xml:space="preserve">Zitiervorschlag: Anlage 10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