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4i BFStrMG — Rechtsverordnungen zu Gebietsvorgaben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03.12.2025 (konsolidierte Textfassung, kein amtliches Inkrafttretensdatum)</w:t>
      </w:r>
    </w:p>
    <w:p>
      <w:r>
        <w:t xml:space="preserve">Das Bundesministerium für Verkehr wird ermächtigt, durch Rechtsverordnung ohne Zustimmung des Bundesrates die Gebietsvorgaben im Sinne des § 9 Absatz 1, 3 und 4 des Mautsystemgesetzes für die nach § 1 mautpflichtigen Straßen festzulegen. Das Bundesministerium für Verkehr wird ferner ermächtigt, durch Rechtsverordnung ohne Zustimmung des Bundesrates seine Befugnis nach Satz 1 ganz oder teilweise auf das Bundesamt für Logistik und Mobilität zu übertragen.</w:t>
      </w:r>
    </w:p>
    <w:p>
      <w:r>
        <w:rPr>
          <w:color w:val="555555"/>
          <w:sz w:val="17"/>
        </w:rPr>
        <w:t xml:space="preserve">Zitiervorschlag: § 4i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