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4f BFStrMG — Zulassung von Anbietern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Das Bundesamt für Logistik und Mobilität lässt nach § 10 Absatz 2 des Mautsystemgesetzes einen Anbieter auf Antrag zur Mitwirkung bei der Erhebung der Maut auf den nach § 1 mautpflichtigen Straßen durch öffentlich-rechtlichen Vertrag zu (Zulassungsvertrag), wenn der Anbieter</w:t>
      </w:r>
    </w:p>
    <w:p>
      <w:pPr>
        <w:ind w:left="420"/>
      </w:pPr>
      <w:r>
        <w:t xml:space="preserve">1. gewährleistet, dass seine Mitwirkung bei der Erhebung der Maut nur nach Maßgabe des § 4 Absatz 6 erfolgt,</w:t>
      </w:r>
    </w:p>
    <w:p>
      <w:pPr>
        <w:ind w:left="420"/>
      </w:pPr>
      <w:r>
        <w:t xml:space="preserve">2. sicherstellt, dass die Berechnung der Maut nach § 3 Absatz 4 erfolgt, soweit diese durch den Anbieter durchgeführt wird,</w:t>
      </w:r>
    </w:p>
    <w:p>
      <w:pPr>
        <w:ind w:left="420"/>
      </w:pPr>
      <w:r>
        <w:t xml:space="preserve">3. die durch Rechtsverordnung nach § 4i festgelegten Gebietsvorgaben für die nach § 1 mautpflichtigen Straßen erfüllt, insbesondere die Gebrauchstauglichkeit der von ihm eingesetzten Interoperabilitätskomponenten nach dem in § 23 des Mautsystemgesetzes geregelten Verfahren festgestellt worden ist.</w:t>
      </w:r>
    </w:p>
    <w:p>
      <w:r>
        <w:t xml:space="preserve">(2) Jeder Zulassungsvertrag enthält nach näherer Bestimmung durch eine Rechtsverordnung nach § 4h Satz 1 für alle Anbieter einheitliche Regelungen</w:t>
      </w:r>
    </w:p>
    <w:p>
      <w:pPr>
        <w:ind w:left="420"/>
      </w:pPr>
      <w:r>
        <w:t xml:space="preserve">1. zu den Bedingungen für die Mitwirkung an der Mauterhebung durch den Anbieter und deren Umfang im Zusammenhang mit der Mauterhebung,</w:t>
      </w:r>
    </w:p>
    <w:p>
      <w:pPr>
        <w:ind w:left="420"/>
      </w:pPr>
      <w:r>
        <w:t xml:space="preserve">2. zum Beginn des Erbringens mautdienstbezogener Leistungen, zur Laufzeit und Beendigung des Zulassungsvertrages,</w:t>
      </w:r>
    </w:p>
    <w:p>
      <w:pPr>
        <w:ind w:left="420"/>
      </w:pPr>
      <w:r>
        <w:t xml:space="preserve">3. zur Art und Weise der Vertragserfüllung,</w:t>
      </w:r>
    </w:p>
    <w:p>
      <w:pPr>
        <w:ind w:left="420"/>
      </w:pPr>
      <w:r>
        <w:t xml:space="preserve">4. zu den Fallgruppen, in denen das Verfahren zur Feststellung der Gebrauchstauglichkeit von Interoperabilitätskomponenten nach § 23 des Mautsystemgesetzes ganz oder teilweise zu wiederholen ist,</w:t>
      </w:r>
    </w:p>
    <w:p>
      <w:pPr>
        <w:ind w:left="420"/>
      </w:pPr>
      <w:r>
        <w:t xml:space="preserve">5. zu Mitwirkungs- und Leistungspflichten des Anbieters und des Bundesamtes für Logistik und Mobilität,</w:t>
      </w:r>
    </w:p>
    <w:p>
      <w:pPr>
        <w:ind w:left="420"/>
      </w:pPr>
      <w:r>
        <w:t xml:space="preserve">6. zum rechtmäßigen Umgang mit Daten, insbesondere der Sicherheit der Daten, Datenschutz und der Behandlung vertraulicher Daten, Übermittlung, Speicherung, Einschränkung der Verarbeitung und Löschung,</w:t>
      </w:r>
    </w:p>
    <w:p>
      <w:pPr>
        <w:ind w:left="420"/>
      </w:pPr>
      <w:r>
        <w:t xml:space="preserve">7. zu den Maßnahmen zur Sicherung der vollständigen Mauterhebung und Mautauskehr an das Bundesamt für Logistik und Mobilität und zur Durchführung der Überwachung des Anbieters, einschließlich Zutritts- und Einsichtsrechten des Bundesamtes für Logistik und Mobilität,</w:t>
      </w:r>
    </w:p>
    <w:p>
      <w:pPr>
        <w:ind w:left="420"/>
      </w:pPr>
      <w:r>
        <w:t xml:space="preserve">8. zu den Vorgaben zur Absicherung der finanziellen Ansprüche des Bundes,</w:t>
      </w:r>
    </w:p>
    <w:p>
      <w:pPr>
        <w:ind w:left="420"/>
      </w:pPr>
      <w:r>
        <w:t xml:space="preserve">9. zur Beschränkung von Rechten des Anbieters, dem vollständigen oder teilweisen Verzicht auf Rechte des Anbieters zu Gunsten des Bundes,</w:t>
      </w:r>
    </w:p>
    <w:p>
      <w:pPr>
        <w:ind w:left="420"/>
      </w:pPr>
      <w:r>
        <w:t xml:space="preserve">10. zu den vom Anbieter zu entrichtenden Entgelten für die Wiederholung des Verfahrens zur Feststellung der Gebrauchstauglichkeit von Interoperabilitätskomponenten nach § 23 des Mautsystemgesetzes einschließlich deren Höhe und der Zahlungsbedingungen,</w:t>
      </w:r>
    </w:p>
    <w:p>
      <w:pPr>
        <w:ind w:left="420"/>
      </w:pPr>
      <w:r>
        <w:t xml:space="preserve">11. zu den vom Anbieter zu entrichtenden Entgelten zur Deckung der Kosten nach § 9 Absatz 1 Satz 2 Nummer 1 in Verbindung mit Absatz 3 des Mautsystemgesetzes,</w:t>
      </w:r>
    </w:p>
    <w:p>
      <w:pPr>
        <w:ind w:left="420"/>
      </w:pPr>
      <w:r>
        <w:t xml:space="preserve">12. zu Haftungsregelungen, vertraglichen Sanktionsmöglichkeiten und Kündigungsrechten,</w:t>
      </w:r>
    </w:p>
    <w:p>
      <w:pPr>
        <w:ind w:left="420"/>
      </w:pPr>
      <w:r>
        <w:t xml:space="preserve">13. zu den Pflichten des Anbieters nach Beendigung des Zulassungsvertrages sowie</w:t>
      </w:r>
    </w:p>
    <w:p>
      <w:pPr>
        <w:ind w:left="420"/>
      </w:pPr>
      <w:r>
        <w:t xml:space="preserve">14. zu der Vergütung des Anbieters.</w:t>
      </w:r>
    </w:p>
    <w:p>
      <w:r>
        <w:t xml:space="preserve">In den Zulassungsvertrag können ferner solche Regelungen aufgenommen werden, die keinen unmittelbaren Bezug zu der Leistungserbringung haben, jedoch zur Gestaltung sonstiger Beziehungen der Vertragsparteien erforderlich sind.</w:t>
      </w:r>
    </w:p>
    <w:p>
      <w:r>
        <w:rPr>
          <w:color w:val="555555"/>
          <w:sz w:val="17"/>
        </w:rPr>
        <w:t xml:space="preserve">Zitiervorschlag: § 4f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