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4e BFStrMG — Beschränkte Zulassung und Pilotbetrieb</w:t>
      </w:r>
    </w:p>
    <w:p>
      <w:r>
        <w:rPr>
          <w:color w:val="555555"/>
          <w:sz w:val="18"/>
        </w:rPr>
        <w:t xml:space="preserve">Bundesfernstraßenmautgesetz</w:t>
      </w:r>
    </w:p>
    <w:p>
      <w:r>
        <w:rPr>
          <w:color w:val="555555"/>
          <w:sz w:val="18"/>
        </w:rPr>
        <w:t xml:space="preserve">Stand: 03.12.2025 (konsolidierte Textfassung, kein amtliches Inkrafttretensdatum)</w:t>
      </w:r>
    </w:p>
    <w:p>
      <w:r>
        <w:t xml:space="preserve">(1) Das Bundesamt für Logistik und Mobilität lässt nach § 11 Absatz 1 des Mautsystemgesetzes einen Anbieter auf Antrag zur Erbringung mautdienstbezogener Leistungen auf den nach § 1 mautpflichtigen Straßen zum Zwecke der Durchführung des Pilotbetriebs nach Absatz 2 durch Verwaltungsakt zu (beschränkte Zulassung), wenn der Anbieter das Prüfverfahren nach § 4d Absatz 3 erfolgreich bestanden hat.</w:t>
      </w:r>
    </w:p>
    <w:p>
      <w:r>
        <w:t xml:space="preserve">(2) Nach Erteilung der beschränkten Zulassung nach Absatz 1 stellt das Bundesamt für Logistik und Mobilität im Rahmen eines Pilotbetriebs nach § 11 Absatz 1 des Mautsystemgesetzes fest, ob der jeweilige Anbieter, der die Zulassung zur Erbringung mautdienstbezogener Leistungen auf den nach § 1 mautpflichtigen Straßen beantragt hat, die Vorgaben nach § 4f Absatz 1 Nummer 1 bis 3 erfüllt.</w:t>
      </w:r>
    </w:p>
    <w:p>
      <w:r>
        <w:rPr>
          <w:color w:val="555555"/>
          <w:sz w:val="17"/>
        </w:rPr>
        <w:t xml:space="preserve">Zitiervorschlag: § 4e BFStrMG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https://recht.nulegal.eu/gesetze/BFStrMG/4e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