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BFStrMG — Zulassungsverfahren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Zulassung nach § 10 des Mautsystemgesetzes für die nach § 1 mautpflichtigen Straßen sind</w:t>
      </w:r>
    </w:p>
    <w:p>
      <w:pPr>
        <w:ind w:left="420"/>
      </w:pPr>
      <w:r>
        <w:t xml:space="preserve">1. eine Prüfvereinbarung nach § 4d Absatz 1 abzuschließen,</w:t>
      </w:r>
    </w:p>
    <w:p>
      <w:pPr>
        <w:ind w:left="420"/>
      </w:pPr>
      <w:r>
        <w:t xml:space="preserve">2. das Prüfverfahren nach § 4d Absatz 3 durchzuführen,</w:t>
      </w:r>
    </w:p>
    <w:p>
      <w:pPr>
        <w:ind w:left="420"/>
      </w:pPr>
      <w:r>
        <w:t xml:space="preserve">3. eine beschränkte Zulassung nach § 4e Absatz 1 zu erteilen,</w:t>
      </w:r>
    </w:p>
    <w:p>
      <w:pPr>
        <w:ind w:left="420"/>
      </w:pPr>
      <w:r>
        <w:t xml:space="preserve">4. der Pilotbetrieb nach § 4e Absatz 2 durchzuführen und</w:t>
      </w:r>
    </w:p>
    <w:p>
      <w:pPr>
        <w:ind w:left="420"/>
      </w:pPr>
      <w:r>
        <w:t xml:space="preserve">5. ein Zulassungsvertrag nach § 4f Absatz 1 abzuschließen.</w:t>
      </w:r>
    </w:p>
    <w:p>
      <w:r>
        <w:t xml:space="preserve">(2) Die Gebrauchstauglichkeitsprüfung nach § 23 des Mautsystemgesetzes besteht aus dem Prüfverfahren nach Absatz 1 Nummer 2 und dem Pilotbetrieb nach Absatz 1 Nummer 4.</w:t>
      </w:r>
    </w:p>
    <w:p>
      <w:r>
        <w:rPr>
          <w:color w:val="555555"/>
          <w:sz w:val="17"/>
        </w:rPr>
        <w:t xml:space="preserve">Zitiervorschlag: § 4c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