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BFStrMG — Mautschuldner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Mautschuldner ist die Person,</w:t>
      </w:r>
    </w:p>
    <w:p>
      <w:pPr>
        <w:ind w:left="420"/>
      </w:pPr>
      <w:r>
        <w:t xml:space="preserve">1. die Eigentümer oder Halter des Motorfahrzeugs ist,</w:t>
      </w:r>
    </w:p>
    <w:p>
      <w:pPr>
        <w:ind w:left="420"/>
      </w:pPr>
      <w:r>
        <w:t xml:space="preserve">2. die über den Gebrauch des Motorfahrzeugs bestimmt,</w:t>
      </w:r>
    </w:p>
    <w:p>
      <w:pPr>
        <w:ind w:left="420"/>
      </w:pPr>
      <w:r>
        <w:t xml:space="preserve">3. die Führer des Motorfahrzeugs ist,</w:t>
      </w:r>
    </w:p>
    <w:p>
      <w:pPr>
        <w:ind w:left="420"/>
      </w:pPr>
      <w:r>
        <w:t xml:space="preserve">4. auf die das Motorfahrzeug zugelassen ist oder</w:t>
      </w:r>
    </w:p>
    <w:p>
      <w:pPr>
        <w:ind w:left="420"/>
      </w:pPr>
      <w:r>
        <w:t xml:space="preserve">5. der das Kennzeichen des Motorfahrzeugs zugeteilt ist.</w:t>
      </w:r>
    </w:p>
    <w:p>
      <w:r>
        <w:t xml:space="preserve">Maßgeblich ist der Zeitpunkt, zu dem die Benutzung einer mautpflichtigen Straße begonnen wird. Mehrere Mautschuldner haften als Gesamtschuldner.</w:t>
      </w:r>
    </w:p>
    <w:p>
      <w:r>
        <w:t xml:space="preserve">(2) Mautgläubiger ist der Bund.</w:t>
      </w:r>
    </w:p>
    <w:p>
      <w:r>
        <w:rPr>
          <w:color w:val="555555"/>
          <w:sz w:val="17"/>
        </w:rPr>
        <w:t xml:space="preserve">Zitiervorschlag: § 2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