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BFStrMG — Alt-Sachverhalte</w:t>
      </w:r>
    </w:p>
    <w:p>
      <w:r>
        <w:rPr>
          <w:color w:val="555555"/>
          <w:sz w:val="18"/>
        </w:rPr>
        <w:t xml:space="preserve">Bundesfernstraßenmautgesetz</w:t>
      </w:r>
    </w:p>
    <w:p>
      <w:r>
        <w:rPr>
          <w:color w:val="555555"/>
          <w:sz w:val="18"/>
        </w:rPr>
        <w:t xml:space="preserve">Stand: 01.07.2024 (konsolidierte Textfassung, kein amtliches Inkrafttretensdatum)</w:t>
      </w:r>
    </w:p>
    <w:p>
      <w:r>
        <w:t xml:space="preserve">(1) Für Sachverhalte, die ab dem 1. Juli 2003 und bis zum Ablauf des 31. August 2007 entstanden sind, bestimmt sich der Mautsatz abweichend von § 3 Absatz 3 nach der Anlage 2. Im Rahmen der Anlage 2 ist die Straßenverkehrs-Zulassungs-Ordnung in der am 31. August 2007 geltenden Fassung anzuwenden.</w:t>
      </w:r>
    </w:p>
    <w:p>
      <w:r>
        <w:t xml:space="preserve">(2) Für Sachverhalte, die ab dem 1. September 2007 und bis zum Ablauf des 31. Dezember 2008 entstanden sind, bestimmt sich der Mautsatz abweichend von § 3 Absatz 3 nach der Anlage 3. Im Rahmen der Anlage 3 ist die Straßenverkehrs-Zulassungs-Ordnung in der am 31. Dezember 2008 geltenden Fassung anzuwenden.</w:t>
      </w:r>
    </w:p>
    <w:p>
      <w:r>
        <w:t xml:space="preserve">(3) Für Sachverhalte, die ab dem 1. Januar 2009 und bis zum Ablauf des 31. Dezember 2014 entstanden sind, bestimmt sich der Mautsatz abweichend von § 3 Absatz 3 nach der Anlage 4. Im Rahmen der Anlage 4 ist die Straßenverkehrs-Zulassungs-Ordnung in der am 31. Dezember 2014 geltenden Fassung anzuwenden.</w:t>
      </w:r>
    </w:p>
    <w:p>
      <w:r>
        <w:t xml:space="preserve">(4) Für Sachverhalte, die ab dem 1. Januar 2015 und bis zum Ablauf des 30. September 2015 entstanden sind, bestimmt sich der Mautsatz abweichend von § 3 Absatz 3 nach der Anlage 5. Im Rahmen der Anlage 5 ist die Straßenverkehrs-Zulassungs-Ordnung in der am 30. September 2015 geltenden Fassung anzuwenden.</w:t>
      </w:r>
    </w:p>
    <w:p>
      <w:r>
        <w:t xml:space="preserve">(5) Für Sachverhalte, die ab dem 1. Oktober 2015 und bis zum Ablauf des 31. Dezember 2018 entstanden sind, bestimmt sich der Mautsatz abweichend von § 3 Absatz 3 nach der Anlage 6. Im Rahmen der Anlage 6 ist die Straßenverkehrs-Zulassungs-Ordnung in der am 31. Dezember 2018 geltenden Fassung anzuwenden.</w:t>
      </w:r>
    </w:p>
    <w:p>
      <w:r>
        <w:t xml:space="preserve">(6) Für Sachverhalte, die ab dem 1. Januar 2019 und bis zum Ablauf des 27. Oktober 2020 entstanden sind, bestimmt sich der Mautsatz abweichend von § 3 Absatz 3 nach der Anlage 7. Im Rahmen der Anlage 7 ist die Straßenverkehrs-Zulassungs-Ordnung in der am 27. Oktober 2020 geltenden Fassung anzuwenden.</w:t>
      </w:r>
    </w:p>
    <w:p>
      <w:r>
        <w:t xml:space="preserve">(7) Für Sachverhalte, die ab dem 28. Oktober 2020 und bis zum Ablauf des 30. September 2021 entstanden sind, bestimmt sich der Mautsatz abweichend von § 3 Absatz 3 nach der Anlage 8. Im Rahmen der Anlage 8 ist die Straßenverkehrs-Zulassungs-Ordnung in der am 30. September 2021 geltenden Fassung anzuwenden.</w:t>
      </w:r>
    </w:p>
    <w:p>
      <w:r>
        <w:t xml:space="preserve">(8) Für Sachverhalte, die ab dem 1. Oktober 2021 und bis zum Ablauf des 31. Dezember 2022 entstanden sind, bestimmt sich der Mautsatz abweichend von § 3 Absatz 3 nach der Anlage 9. Im Rahmen der Anlage 9 ist die Straßenverkehrs-Zulassungs-Ordnung in der am 31. Dezember 2022 geltenden Fassung anzuwenden.</w:t>
      </w:r>
    </w:p>
    <w:p>
      <w:r>
        <w:t xml:space="preserve">(9) Für Sachverhalte, die ab dem 1. Januar 2023 und bis zum Ablauf des 30. November 2023 entstanden sind, bestimmt sich der Mautsatz abweichend von § 3 Absatz 3 nach der Anlage 10. Im Rahmen der Anlage 10 ist die Straßenverkehrs-Zulassungs-Ordnung in der am 30. November 2023 geltenden Fassung anzuwenden.</w:t>
      </w:r>
    </w:p>
    <w:p>
      <w:r>
        <w:t xml:space="preserve">(10) Für Sachverhalte, die ab dem 1. Dezember 2023 und bis zum Ablauf des 30. Juni 2024 entstanden sind, bestimmt sich der Mautsatz abweichend von § 3 Absatz 3 nach der Anlage 11.</w:t>
      </w:r>
    </w:p>
    <w:p>
      <w:r>
        <w:rPr>
          <w:color w:val="555555"/>
          <w:sz w:val="17"/>
        </w:rPr>
        <w:t xml:space="preserve">Zitiervorschlag: § 14 BFStrMG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https://recht.nulegal.eu/gesetze/BFStrMG/14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