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BFStrMG — Bericht über die erhobenen Mautgebühren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03.12.2025 (konsolidierte Textfassung, kein amtliches Inkrafttretensdatum)</w:t>
      </w:r>
    </w:p>
    <w:p>
      <w:r>
        <w:t xml:space="preserve">(1) Bis zum 25. März 2025 und anschließend alle fünf Jahre veröffentlicht das Bundesministerium für Verkehr in zusammengefasster Form einen Bericht über die erhobenen Mautgebühren.</w:t>
      </w:r>
    </w:p>
    <w:p>
      <w:r>
        <w:t xml:space="preserve">(2) Der nach Absatz 1 zu veröffentlichende Bericht hat folgende Angaben zu enthalten:</w:t>
      </w:r>
    </w:p>
    <w:p>
      <w:pPr>
        <w:ind w:left="420"/>
      </w:pPr>
      <w:r>
        <w:t xml:space="preserve">1. die Entwicklungen bei Gebühren für die Nutzung der Straßeninfrastruktur, insbesondere der gebührenpflichtigen Netze und Fahrzeugkategorien, einschließlich der Ausnahmen von der Mautpflicht;</w:t>
      </w:r>
    </w:p>
    <w:p>
      <w:pPr>
        <w:ind w:left="420"/>
      </w:pPr>
      <w:r>
        <w:t xml:space="preserve">2. die Differenzierung des Mautteilsatzes für Infrastrukturkosten nach Fahrzeugklasse;</w:t>
      </w:r>
    </w:p>
    <w:p>
      <w:pPr>
        <w:ind w:left="420"/>
      </w:pPr>
      <w:r>
        <w:t xml:space="preserve">3. die Differenzierung des Mautteilsatzes für Infrastrukturkosten nach der Tageszeit oder der Tageskategorie;</w:t>
      </w:r>
    </w:p>
    <w:p>
      <w:pPr>
        <w:ind w:left="420"/>
      </w:pPr>
      <w:r>
        <w:t xml:space="preserve">4. die Gebühren für externe Kosten, die auf die einzelnen Kombinationen von Fahrzeugklasse, Straßenkategorie und Zeitraum erhoben werden;</w:t>
      </w:r>
    </w:p>
    <w:p>
      <w:pPr>
        <w:ind w:left="420"/>
      </w:pPr>
      <w:r>
        <w:t xml:space="preserve">5. die Mautteilsätze für Infrastrukturkosten und die Gesamteinnahmen aus diesen Mautteilsätzen;</w:t>
      </w:r>
    </w:p>
    <w:p>
      <w:pPr>
        <w:ind w:left="420"/>
      </w:pPr>
      <w:r>
        <w:t xml:space="preserve">6. die Gesamteinnahmen aus Gebühren für externe Kosten;</w:t>
      </w:r>
    </w:p>
    <w:p>
      <w:pPr>
        <w:ind w:left="420"/>
      </w:pPr>
      <w:r>
        <w:t xml:space="preserve">7. die Gesamteinnahmen aus Mautgebühren;</w:t>
      </w:r>
    </w:p>
    <w:p>
      <w:pPr>
        <w:ind w:left="420"/>
      </w:pPr>
      <w:r>
        <w:t xml:space="preserve">8. die Verwendung der erzielten Einnahmen und Angaben darüber, inwiefern die in Artikel 9 Absatz 2 der Richtlinie 1999/62/EG genannten Ziele dadurch erreicht werden konnten, oder, wenn diese Einnahmen in den Staatshaushalt fließen, Informationen zur Höhe der Ausgaben für Straßenverkehrsinfrastrukturprojekte und Projekte im Bereich nachhaltiger Verkehr und</w:t>
      </w:r>
    </w:p>
    <w:p>
      <w:pPr>
        <w:ind w:left="420"/>
      </w:pPr>
      <w:r>
        <w:t xml:space="preserve">9. die Entwicklung des Anteils der Fahrzeuge in den verschiedenen Emissionsklassen auf mautpflichtigen Straßen.</w:t>
      </w:r>
    </w:p>
    <w:p>
      <w:r>
        <w:rPr>
          <w:color w:val="555555"/>
          <w:sz w:val="17"/>
        </w:rPr>
        <w:t xml:space="preserve">Zitiervorschlag: § 13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