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10a BFStrMG — Kostentragungspflicht bei Nichtermittelbarkeit des Führers des Motorfahrzeugs</w:t>
      </w:r>
    </w:p>
    <w:p>
      <w:r>
        <w:rPr>
          <w:color w:val="555555"/>
          <w:sz w:val="18"/>
        </w:rPr>
        <w:t xml:space="preserve">Bundesfernstraßenmautgesetz</w:t>
      </w:r>
    </w:p>
    <w:p>
      <w:r>
        <w:rPr>
          <w:color w:val="555555"/>
          <w:sz w:val="18"/>
        </w:rPr>
        <w:t xml:space="preserve">Stand: 01.10.2021 (konsolidierte Textfassung, kein amtliches Inkrafttretensdatum)</w:t>
      </w:r>
    </w:p>
    <w:p>
      <w:r>
        <w:t xml:space="preserve">(1) Kann in einem Bußgeldverfahren wegen einer Zuwiderhandlung nach § 10 Absatz 1 Nummer 1 und 2 der Führer des Motorfahrzeugs, der den Verstoß begangen hat, nicht vor Eintritt der Verfolgungsverjährung ermittelt werden oder würde seine Ermittlung einen unangemessenen Aufwand erfordern, so werden dem Halter des Motorfahrzeugs oder demjenigen, der über den Gebrauch des Motorfahrzeugs bestimmt, die Kosten des Verfahrens auferlegt; er hat in diesem Fall seine Auslagen zu tragen. Von einer Entscheidung nach Satz 1 wird abgesehen, wenn es unbillig wäre, den Halter des Motorfahrzeugs oder denjenigen, der über den Gebrauch des Motorfahrzeugs bestimmt, mit den Kosten zu belasten. § 25a Absatz 2 und 3 des Straßenverkehrsgesetzes gilt entsprechend.</w:t>
      </w:r>
    </w:p>
    <w:p>
      <w:r>
        <w:t xml:space="preserve">(2) § 107 Absatz 2 des Gesetzes über Ordnungswidrigkeiten gilt entsprechend.</w:t>
      </w:r>
    </w:p>
    <w:p>
      <w:r>
        <w:rPr>
          <w:color w:val="555555"/>
          <w:sz w:val="17"/>
        </w:rPr>
        <w:t xml:space="preserve">Zitiervorschlag: § 10a BFStrMG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https://recht.nulegal.eu/gesetze/BFStrMG/10a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