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BFStrMG — Autobahn- und Bundesstraßenmaut</w:t>
      </w:r>
    </w:p>
    <w:p>
      <w:r>
        <w:rPr>
          <w:color w:val="555555"/>
          <w:sz w:val="18"/>
        </w:rPr>
        <w:t xml:space="preserve">Bundesfernstraßenmautgesetz</w:t>
      </w:r>
    </w:p>
    <w:p>
      <w:r>
        <w:rPr>
          <w:color w:val="555555"/>
          <w:sz w:val="18"/>
        </w:rPr>
        <w:t xml:space="preserve">Stand: 03.12.2025 (konsolidierte Textfassung, kein amtliches Inkrafttretensdatum)</w:t>
      </w:r>
    </w:p>
    <w:p>
      <w:r>
        <w:t xml:space="preserve">(1) Für die Benutzung der Bundesautobahnen und der Bundesstraßen mit Fahrzeugen im Sinne des Satzes 2 ist eine Gebühr im Sinne des Artikels 2 Absatz 1 Nummer 7 der Richtlinie 1999/62/EG des Europäischen Parlaments und des Rates vom 17. Juni 1999 über die Erhebung von Gebühren für die Benutzung von Straßeninfrastrukturen durch Fahrzeuge (ABl. L 187 vom 20.7.1999, S. 42), die zuletzt durch die Richtlinie (EU) 2022/362 (ABl. L 69 vom 4.3.2022, S. 1) geändert worden ist, zu entrichten (Maut). Fahrzeuge sind Kraftfahrzeuge und Fahrzeugkombinationen,</w:t>
      </w:r>
    </w:p>
    <w:p>
      <w:pPr>
        <w:ind w:left="420"/>
      </w:pPr>
      <w:r>
        <w:t xml:space="preserve">1. die für den Güterkraftverkehr bestimmt sind oder verwendet werden und</w:t>
      </w:r>
    </w:p>
    <w:p>
      <w:pPr>
        <w:ind w:left="420"/>
      </w:pPr>
      <w:r>
        <w:t xml:space="preserve">2. deren technisch zulässige Gesamtmasse mehr als 3,5 Tonnen beträgt.</w:t>
      </w:r>
    </w:p>
    <w:p>
      <w:r>
        <w:t xml:space="preserve">Im Fall von Fahrzeugkombinationen besteht eine Pflicht zur Entrichtung der Maut nur, wenn das Motorfahrzeug eine technisch zulässige Gesamtmasse von mehr als 3,5 Tonnen aufweist. Die technisch zulässige Gesamtmasse einer Fahrzeugkombination im Rahmen dieses Gesetzes wird aus der Summe der technisch zulässigen Gesamtmasse der Einzelfahrzeuge berechnet.</w:t>
      </w:r>
    </w:p>
    <w:p>
      <w:r>
        <w:t xml:space="preserve">(2) Die Maut nach Absatz 1 ist nicht zu entrichten, wenn folgende Fahrzeuge verwendet werden:</w:t>
      </w:r>
    </w:p>
    <w:p>
      <w:pPr>
        <w:ind w:left="420"/>
      </w:pPr>
      <w:r>
        <w:t xml:space="preserve">1. Kraftomnibusse,</w:t>
      </w:r>
    </w:p>
    <w:p>
      <w:pPr>
        <w:ind w:left="420"/>
      </w:pPr>
      <w:r>
        <w:t xml:space="preserve">2. Fahrzeuge der Streitkräfte, der Polizeibehörden, des Zivil- und Katastrophenschutzes, der Feuerwehr und anderer Notdienste sowie Fahrzeuge des Bundes,</w:t>
      </w:r>
    </w:p>
    <w:p>
      <w:pPr>
        <w:ind w:left="420"/>
      </w:pPr>
      <w:r>
        <w:t xml:space="preserve">3. Fahrzeuge, die ausschließlich für den Straßenunterhaltungs- und Straßenbetriebsdienst einschließlich Straßenreinigung und Winterdienst genutzt werden,</w:t>
      </w:r>
    </w:p>
    <w:p>
      <w:pPr>
        <w:ind w:left="420"/>
      </w:pPr>
      <w:r>
        <w:t xml:space="preserve">4. Fahrzeuge, die ausschließlich für Zwecke des Schausteller- und Zirkusgewerbes eingesetzt werden,</w:t>
      </w:r>
    </w:p>
    <w:p>
      <w:pPr>
        <w:ind w:left="420"/>
      </w:pPr>
      <w:r>
        <w:t xml:space="preserve">5. Fahrzeuge, die von gemeinnützigen oder mildtätigen Organisationen für den Transport von humanitären Hilfsgütern, die zur Linderung einer Notlage dienen, eingesetzt werden,</w:t>
      </w:r>
    </w:p>
    <w:p>
      <w:pPr>
        <w:ind w:left="420"/>
      </w:pPr>
      <w:r>
        <w:t xml:space="preserve">6. land- oder forstwirtschaftliche Fahrzeuge gemäß § 2 Absatz 1 Nummer 7 des Güterkraftverkehrsgesetzes sowie den damit verbundenen Leerfahrten,</w:t>
      </w:r>
    </w:p>
    <w:p>
      <w:pPr>
        <w:ind w:left="420"/>
      </w:pPr>
      <w:r>
        <w:t xml:space="preserve">7. emissionsfreie schwere Nutzfahrzeuge im Sinne des Artikels 2 Absatz 1 Nummer 29 Buchstabe a der Richtlinie 1999/62/EG des Europäischen Parlaments und des Rates vom 17. Juni 1999 über die Erhebung von Gebühren für die Benutzung bestimmter Verkehrswege durch schwere Nutzfahrzeuge (ABl. L 187 vom 20.7.1999, S. 42), die zuletzt durch die Richtlinie (EU) 2022/362 (ABl. L 69 vom 4.3.2022, S. 1) geändert wurde, bis 30. Juni 2031,</w:t>
      </w:r>
    </w:p>
    <w:p>
      <w:pPr>
        <w:ind w:left="420"/>
      </w:pPr>
      <w:r>
        <w:t xml:space="preserve">8. überwiegend mit Erdgas betriebene Fahrzeuge, die werksseitig für den Betrieb mit CNG, LNG oder als Zweistoffmotor mit LNG/Diesel ausgeliefert wurden und über eine Systemgenehmigung gemäß Verordnung VO (EG) Nr. 595/2009 verfügen, im Zeitraum vom 1. Januar 2019 bis zum 31. Dezember 2023,</w:t>
      </w:r>
    </w:p>
    <w:p>
      <w:pPr>
        <w:ind w:left="420"/>
      </w:pPr>
      <w:r>
        <w:t xml:space="preserve">9. emissionsfreie Fahrzeuge im Sinne der Nummer 7 mit einer technisch zulässigen Gesamtmasse von bis zu 4,25 Tonnen,</w:t>
      </w:r>
    </w:p>
    <w:p>
      <w:pPr>
        <w:ind w:left="420"/>
      </w:pPr>
      <w:r>
        <w:t xml:space="preserve">10. Fahrzeuge nach § 1 Absatz 1 Satz 2 mit einer technisch zulässigen Gesamtmasse von weniger als 7,5 Tonnen, die zur Beförderung von Material, Ausrüstungen oder Maschinen, die der Fahrer zur Ausübung seines Handwerks oder seines mit dem Handwerk vergleichbaren Berufs benötigt, oder zur Auslieferung von handwerklich hergestellten Gütern, wenn die Beförderung nicht gewerblich erfolgt, benutzt werden.</w:t>
      </w:r>
    </w:p>
    <w:p>
      <w:r>
        <w:t xml:space="preserve">Voraussetzung für die Mautbefreiung nach Satz 1 Nummer 2 bis 4 ist, dass die Fahrzeuge als für die dort genannten Zwecke bestimmt erkennbar sind. Im Fall von Fahrzeugkombinationen ist das Motorfahrzeug für die Mautbefreiung der Kombination maßgebend.</w:t>
      </w:r>
    </w:p>
    <w:p>
      <w:r>
        <w:t xml:space="preserve">(3) Die Maut nach Absatz 1 ist nicht zu entrichten auf:</w:t>
      </w:r>
    </w:p>
    <w:p>
      <w:pPr>
        <w:ind w:left="420"/>
      </w:pPr>
      <w:r>
        <w:t xml:space="preserve">1. der Bundesautobahn A 6 von der deutsch-französischen Grenze bis zur Anschlussstelle Saarbrücken-Fechingen in beiden Fahrtrichtungen,</w:t>
      </w:r>
    </w:p>
    <w:p>
      <w:pPr>
        <w:ind w:left="420"/>
      </w:pPr>
      <w:r>
        <w:t xml:space="preserve">2. der Bundesautobahn A 5 von der deutsch-schweizerischen Grenze und der deutsch-französischen Grenze bis zur Anschlussstelle Müllheim/Neuenburg in beiden Fahrtrichtungen,</w:t>
      </w:r>
    </w:p>
    <w:p>
      <w:pPr>
        <w:ind w:left="420"/>
      </w:pPr>
      <w:r>
        <w:t xml:space="preserve">3. den Abschnitten von Bundesfernstraßen, für deren Benutzung eine Maut nach § 2 des Fernstraßenbauprivatfinanzierungsgesetzes vom 30. August 1994 (BGBl. I S. 2243) in der jeweils geltenden Fassung erhoben wird.</w:t>
      </w:r>
    </w:p>
    <w:p>
      <w:r>
        <w:t xml:space="preserve">(4) Das Bundesministerium für Verkehr wird ermächtigt, durch Rechtsverordnung mit Zustimmung des Bundesrates die Mautpflicht auf genau bezeichnete Abschnitte von Straßen nach Landesrecht auszudehnen, wenn dies zur Vermeidung von Mautausweichverkehren oder aus Gründen der Sicherheit des Verkehrs oder wegen ihrer Funktion zur Verknüpfung von Schwerpunkten des weiträumigen Güterkraftverkehrsaufkommens mit dem Bundesfernstraßennetz gerechtfertigt ist.</w:t>
      </w:r>
    </w:p>
    <w:p>
      <w:r>
        <w:t xml:space="preserve">(5) Auf die Mautpflicht der Streckenabschnitte nach Absatz 4 ist durch straßenverkehrsrechtliche Beschilderung hinzuweisen.</w:t>
      </w:r>
    </w:p>
    <w:p>
      <w:r>
        <w:t xml:space="preserve">(6) (weggefallen)</w:t>
      </w:r>
    </w:p>
    <w:p>
      <w:r>
        <w:rPr>
          <w:color w:val="555555"/>
          <w:sz w:val="17"/>
        </w:rPr>
        <w:t xml:space="preserve">Zitiervorschlag: § 1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