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BFSV (Brandenburg) — Auswahlverfahren</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Rangfolge der zu vergebenden Plätze ist die nach § 8 ermittelte Durchschnittsnote maßgebend.</w:t>
      </w:r>
    </w:p>
    <w:p>
      <w:r>
        <w:t xml:space="preserve">(2) Bei gleicher Durchschnittsnote werden die Plätze an diejenigen vergeben, die in einem vorangegangenen Schuljahr wegen fehlender Plätze nicht aufgenommen werden konnten. Die Dauer der Wartezeit entscheidet in diesen Fällen über die Rangfolge.</w:t>
      </w:r>
    </w:p>
    <w:p>
      <w:r>
        <w:t xml:space="preserve">(3) Sind auch nach Anwendung von Absatz 2 Bewerberinnen und Bewerber als gleich geeignet anzusehen, so werden die noch vorhandenen Plätze durch das Los verteilt.</w:t>
      </w:r>
    </w:p>
    <w:p>
      <w:r>
        <w:t xml:space="preserve">(4) Nicht aufgenommene Bewerberinnen und Bewerber werden nach der Rangfolge ihrer Eignung in eine Nachrückerliste eingetragen.</w:t>
      </w:r>
    </w:p>
    <w:p>
      <w:r>
        <w:rPr>
          <w:color w:val="555555"/>
          <w:sz w:val="17"/>
        </w:rPr>
        <w:t xml:space="preserve">Zitiervorschlag: § 9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