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BFSV (Brandenburg) — Eignungsfeststellung</w:t>
      </w:r>
    </w:p>
    <w:p>
      <w:r>
        <w:rPr>
          <w:color w:val="555555"/>
          <w:sz w:val="18"/>
        </w:rPr>
        <w:t xml:space="preserve">Berufsfachschulverordnung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die Eignungsfeststellung sind die bisherigen schulischen Leistungen heranzuziehen. Maßgebend ist die auf eine Dezimalstelle ohne Rundung errechnete Durchschnittsnote des Zeugnisses, mit dem der schulische Abschluß gemäß § 4 nachgewiesen wird.</w:t>
      </w:r>
    </w:p>
    <w:p>
      <w:r>
        <w:rPr>
          <w:color w:val="555555"/>
          <w:sz w:val="17"/>
        </w:rPr>
        <w:t xml:space="preserve">Zitiervorschlag: § 8 BFSV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https://recht.nulegal.eu/gesetze/BFSV/8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