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BFSV (Brandenburg) — Aufnahmevoraussetzungen</w:t>
      </w:r>
    </w:p>
    <w:p>
      <w:r>
        <w:rPr>
          <w:color w:val="555555"/>
          <w:sz w:val="18"/>
        </w:rPr>
        <w:t xml:space="preserve">Berufsfachschulverordnung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In den Bildungsgang kann aufgenommen werden, wer mindestens die Fachoberschulreife oder einen gleichwertigen Abschluß nachweist und über die gesundheitliche Eignung gemäß § 32 in Verbindung mit den §§ 37 und 39 des Jugendarbeitsschutzgesetzes verfügt.</w:t>
      </w:r>
    </w:p>
    <w:p>
      <w:r>
        <w:rPr>
          <w:color w:val="555555"/>
          <w:sz w:val="17"/>
        </w:rPr>
        <w:t xml:space="preserve">Zitiervorschlag: § 4 BFSV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