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BFSV (Brandenburg) — Unterrichtsorganisation</w:t>
      </w:r>
    </w:p>
    <w:p>
      <w:r>
        <w:rPr>
          <w:color w:val="555555"/>
          <w:sz w:val="18"/>
        </w:rPr>
        <w:t xml:space="preserve">Berufsfachschulverordnung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Unterricht wird im Klassenverband oder in Kursen erteilt.</w:t>
      </w:r>
    </w:p>
    <w:p>
      <w:r>
        <w:t xml:space="preserve">(2) Grundlage für den Unterricht sind die Stundentafeln gemäß Anlage 1 und die vom für Schule zuständigen Ministerium erlassenen Rahmenpläne. Die in den Stundentafeln ausgewiesenen Jahresstunden werden durch die im jeweiligen Schuljahr realisierten Praktikumszeiten nicht reduziert.</w:t>
      </w:r>
    </w:p>
    <w:p>
      <w:r>
        <w:t xml:space="preserve">(3) Der Unterricht ist bildungsgangbezogen zu erteilen. Grundsätze der Stundenplangestaltung und der Durchführung besonderer Unterrichtsformen regelt die Abteilungskonferenz. Die Fach- oder Lernbereichskonferenz entscheidet über fachbezogene Regelungen des fächerübergreifenden Unterrichts und die Klassenkonferenz über die Koordinierung der Arbeit der beteiligten Fachlehrkräfte.</w:t>
      </w:r>
    </w:p>
    <w:p>
      <w:r>
        <w:rPr>
          <w:color w:val="555555"/>
          <w:sz w:val="17"/>
        </w:rPr>
        <w:t xml:space="preserve">Zitiervorschlag: § 3 BFSV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