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BFSSozV (Brandenburg) — Inkrafttreten, Außerkrafttreten</w:t>
      </w:r>
    </w:p>
    <w:p>
      <w:r>
        <w:rPr>
          <w:color w:val="555555"/>
          <w:sz w:val="18"/>
        </w:rPr>
        <w:t xml:space="preserve">Berufsfachschulverordnung Soziales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1. August 2022 in Kraft. Gleichzeitig tritt die Berufsfachschulverordnung Soziales vom 20. Mai 2004 (GVBl. II S. 466) außer Kraft.</w:t>
      </w:r>
    </w:p>
    <w:p>
      <w:r>
        <w:t xml:space="preserve">Potsdam, den 18. Mai 2022</w:t>
      </w:r>
    </w:p>
    <w:p>
      <w:r>
        <w:t xml:space="preserve">Die Ministerin für Bildung,</w:t>
      </w:r>
    </w:p>
    <w:p>
      <w:r>
        <w:t xml:space="preserve">Jugend und Sport</w:t>
      </w:r>
    </w:p>
    <w:p>
      <w:r>
        <w:t xml:space="preserve">Britta Ernst</w:t>
      </w:r>
    </w:p>
    <w:p>
      <w:r>
        <w:t xml:space="preserve">Anlagen</w:t>
      </w:r>
    </w:p>
    <w:p>
      <w:r>
        <w:t xml:space="preserve">1</w:t>
      </w:r>
    </w:p>
    <w:p>
      <w:r>
        <w:t xml:space="preserve">Anlage (zu § 3 Absatz 3) Stundentafel 160.2 KB</w:t>
      </w:r>
    </w:p>
    <w:p>
      <w:r>
        <w:rPr>
          <w:color w:val="555555"/>
          <w:sz w:val="17"/>
        </w:rPr>
        <w:t xml:space="preserve">Zitiervorschlag: § 41 BFSSozV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https://recht.nulegal.eu/gesetze/BFSSozV/41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