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BFSSozV (Brandenburg) — Aufnahmevoraussetzungen</w:t>
      </w:r>
    </w:p>
    <w:p>
      <w:r>
        <w:rPr>
          <w:color w:val="555555"/>
          <w:sz w:val="18"/>
        </w:rPr>
        <w:t xml:space="preserve">Berufsfachschulverordnung Soziales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Aufnahmevoraussetzung für den Bildungsgang ist</w:t>
      </w:r>
    </w:p>
    <w:p>
      <w:r>
        <w:t xml:space="preserve">die erweiterte Berufsbildungsreife oder eine gleichwertige Schulbildung und</w:t>
      </w:r>
    </w:p>
    <w:p>
      <w:r>
        <w:t xml:space="preserve">die gesundheitliche Eignung gemäß § 32 in Verbindung mit den §§ 37 bis 39 des Jugendarbeitsschutzgesetzes; der Nachweis der gesundheitlichen Eignung sollte zum Zeitpunkt der Antragsstellung nicht älter als 14 Monate alt sein.</w:t>
      </w:r>
    </w:p>
    <w:p>
      <w:r>
        <w:rPr>
          <w:color w:val="555555"/>
          <w:sz w:val="17"/>
        </w:rPr>
        <w:t xml:space="preserve">Zitiervorschlag: § 4 BFSSozV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https://recht.nulegal.eu/gesetze/BFSSozV/4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