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BFSSozV (Brandenburg) — Durchführung der schriftlichen Prüfung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 Beginn der schriftlichen Prüfung werden die Prüflinge auf die Bestimmungen über Täuschungen und Täuschungsversuche belehrt.</w:t>
      </w:r>
    </w:p>
    <w:p>
      <w:r>
        <w:t xml:space="preserve">(2) Die schriftlichen Prüfungen werden von mindestens zwei Lehrkräften beaufsichtigt.</w:t>
      </w:r>
    </w:p>
    <w:p>
      <w:r>
        <w:t xml:space="preserve">(3) Für die Arbeiten einschließlich der Konzepte sind von der Schule einheitlich gekennzeichnete Bögen bereitzustellen; die Verwendung anderer Bögen ist unzulässig. Die Seiten der Reinschrift sind fortlaufend zu nummerieren. Sämtliche Entwürfe und der Aufgabentext sind mit dem Namen des Prüfungsteilnehmers zu versehen und mit der Reinschrift abzugeben.</w:t>
      </w:r>
    </w:p>
    <w:p>
      <w:r>
        <w:t xml:space="preserve">(4) Auf schriftlichen Antrag an die Prüfungsvorsitzende oder den Prüfungsvorsitzenden sind für behinderte Prüflinge die sich aus ihrer Behinderung ergebenden Nachteile auszugleichen. Für die Gewährung eines Nachteilsausgleichs gilt § 9 Absatz 4 und 5 entsprechend.</w:t>
      </w:r>
    </w:p>
    <w:p>
      <w:r>
        <w:t xml:space="preserve">(5) Bei den Arbeiten dürfen nur die Hilfsmittel benutzt werden, die in den genehmigten Aufgabenvorschlägen angegeben sind.</w:t>
      </w:r>
    </w:p>
    <w:p>
      <w:r>
        <w:rPr>
          <w:color w:val="555555"/>
          <w:sz w:val="17"/>
        </w:rPr>
        <w:t xml:space="preserve">Zitiervorschlag: § 29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