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BFSSozV (Brandenburg) — Ziel und Gliederung der Prüfung</w:t>
      </w:r>
    </w:p>
    <w:p>
      <w:r>
        <w:rPr>
          <w:color w:val="555555"/>
          <w:sz w:val="18"/>
        </w:rPr>
        <w:t xml:space="preserve">Berufsfachschulverordnung Soziales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Prüflinge weisen in der Prüfung nach, dass sie das Ziel des Bildungsganges erreicht haben.</w:t>
      </w:r>
    </w:p>
    <w:p>
      <w:r>
        <w:t xml:space="preserve">(2) Die Prüfung findet zum Ende des zweiten Schuljahres statt. Das für Schule zuständige Ministerium legt vor Beginn des zweiten Schuljahres einen Zeitrahmen für die Durchführung der Prüfung fest.</w:t>
      </w:r>
    </w:p>
    <w:p>
      <w:r>
        <w:t xml:space="preserve">(3) Die Prüfung besteht aus einem schriftlichen und einem mündlichen Teil.</w:t>
      </w:r>
    </w:p>
    <w:p>
      <w:r>
        <w:rPr>
          <w:color w:val="555555"/>
          <w:sz w:val="17"/>
        </w:rPr>
        <w:t xml:space="preserve">Zitiervorschlag: § 21 BFSSozV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https://recht.nulegal.eu/gesetze/BFSSozV/21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