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BFSSozV (Brandenburg) — Organisationsform und Dauer</w:t>
      </w:r>
    </w:p>
    <w:p>
      <w:r>
        <w:rPr>
          <w:color w:val="555555"/>
          <w:sz w:val="18"/>
        </w:rPr>
        <w:t xml:space="preserve">Berufsfachschulverordnung Soziales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Bildungsgang wird in Vollzeit angeboten, dauert zwei Schuljahre und wird mit einer Prüfung abgeschlossen.</w:t>
      </w:r>
    </w:p>
    <w:p>
      <w:r>
        <w:t xml:space="preserve">(2) Die Ausbildung ist prozesshaft in enger Verbindung der Lernorte Schule und Praxis zu gestalten.</w:t>
      </w:r>
    </w:p>
    <w:p>
      <w:r>
        <w:rPr>
          <w:color w:val="555555"/>
          <w:sz w:val="17"/>
        </w:rPr>
        <w:t xml:space="preserve">Zitiervorschlag: § 2 BFSSozV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https://recht.nulegal.eu/gesetze/BFSSozV/2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