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BFSSozV (Brandenburg) — Art und Dauer der praktischen Ausbildung</w:t>
      </w:r>
    </w:p>
    <w:p>
      <w:r>
        <w:rPr>
          <w:color w:val="555555"/>
          <w:sz w:val="18"/>
        </w:rPr>
        <w:t xml:space="preserve">Berufsfachschulverordnung Soziales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praktische Ausbildung beträgt 800 Stunden.</w:t>
      </w:r>
    </w:p>
    <w:p>
      <w:r>
        <w:t xml:space="preserve">(2) Die praktische Ausbildung ist in sozialpädagogischen und heilerziehungspflegerischen Tätigkeitsfeldern durchzuführen.</w:t>
      </w:r>
    </w:p>
    <w:p>
      <w:r>
        <w:t xml:space="preserve">(3) Die Mindestdauer in jedem der beiden Tätigkeitsfelder beträgt jeweils 300 Stunden.</w:t>
      </w:r>
    </w:p>
    <w:p>
      <w:r>
        <w:rPr>
          <w:color w:val="555555"/>
          <w:sz w:val="17"/>
        </w:rPr>
        <w:t xml:space="preserve">Zitiervorschlag: § 14 BFSSozV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https://recht.nulegal.eu/gesetze/BFSSozV/14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