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BFSO (Bayern) — Festsetzung des Prüfungsergebnisses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Bewertung der Prüfungsleistungen und die Festsetzung der Prüfungsergebnisse erfolgt</w:t>
      </w:r>
    </w:p>
    <w:p>
      <w:r>
        <w:t xml:space="preserve">1. in der Ausbildungsrichtung Fremdsprachenkorrespondentinnen und Fremdsprachenkorrespondenten nach § 63 und § 64 Abs. 2 bis 4, wobei bei anderen Bewerberinnen und Bewerbern die Note der mündlichen Prüfung nach § 61 Abs. 1 und 2 und die Note der schriftlichen Prüfung nach § 59 Abs. 1 und 2 einfach gewichtet werden, und</w:t>
      </w:r>
    </w:p>
    <w:p>
      <w:r>
        <w:t xml:space="preserve">2. in der Ausbildungsrichtung Euro-Korrespondentinnen und Euro-Korrespondenten nach § 63, wobei bei anderen Bewerberinnen und Bewerbern die Note der mündlichen Prüfung nach § 62 Abs. 1 und 2 und die Note der schriftlichen Prüfung nach § 60 Abs. 1 und 2 einfach gewichtet werden.</w:t>
      </w:r>
    </w:p>
    <w:p>
      <w:r>
        <w:t xml:space="preserve">(2) Die Entscheidung über das Bestehen der Prüfung erfolgt</w:t>
      </w:r>
    </w:p>
    <w:p>
      <w:r>
        <w:t xml:space="preserve">1. in der Ausbildungsrichtung Fremdsprachenkorrespondentinnen und Fremdsprachenkorrespondenten nach § 64 Abs. 3 und 4 und</w:t>
      </w:r>
    </w:p>
    <w:p>
      <w:r>
        <w:t xml:space="preserve">2. in der Ausbildungsrichtung Euro-Korrespondentinnen und Euro-Korrespondenten nach § 65 Abs. 2.</w:t>
      </w:r>
    </w:p>
    <w:p>
      <w:r>
        <w:t xml:space="preserve">In der Ausbildungsrichtung nach Satz 1 Nr. 1 ist die Prüfung nicht bestanden, wenn die Note im Fach Digitale Kompetenz der Anlage 6 schlechter als „ausreichend“ ist.</w:t>
      </w:r>
    </w:p>
    <w:p>
      <w:r>
        <w:t xml:space="preserve">(3) Abweichend von § 66 Abs. 2 erhalten Bewerberinnen und Bewerber, die die Abschlussprüfung nicht bestanden haben, auf Antrag eine Bescheinigung hierüber. Der Prüfungsausschuss entscheidet auf Antrag, ob die nicht bestandene Abschlussprüfung als Aufnahmeprüfung nach § 7 Abs. 5 Satz 1 gewertet werden kann.</w:t>
      </w:r>
    </w:p>
    <w:p>
      <w:r>
        <w:rPr>
          <w:color w:val="555555"/>
          <w:sz w:val="17"/>
        </w:rPr>
        <w:t xml:space="preserve">Zitiervorschlag: § 72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