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BFSO (Bayern) — Besonderheiten der Ausbildungsrichtung Ernährung und Versorgung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wird schriftlich, praktisch und nach Maßgabe von Satz 4 mündlich durchgeführt. Die schriftliche Prüfung erstreckt sich auf den gesamten Unterrichtsstoff der Fächer</w:t>
      </w:r>
    </w:p>
    <w:p>
      <w:r>
        <w:t xml:space="preserve">1. Ernährung und Verpflegung: Bearbeitungszeit 60 Minuten,</w:t>
      </w:r>
    </w:p>
    <w:p>
      <w:r>
        <w:t xml:space="preserve">2. Betriebswirtschaftslehre: Bearbeitungszeit 60 Minuten.</w:t>
      </w:r>
    </w:p>
    <w:p>
      <w:r>
        <w:t xml:space="preserve">Die praktische Prüfung erstreckt sich auf den gesamten Unterrichtsstoff des Fachs Ernährung und Verpflegung: Bearbeitungszeit 180 Minuten. § 42 bleibt unberührt mit der Maßgabe, dass für das Fach Ernährung und Verpflegung</w:t>
      </w:r>
    </w:p>
    <w:p>
      <w:r>
        <w:t xml:space="preserve">1. § 42 Abs. 1 Nr. 1 Anwendung findet und</w:t>
      </w:r>
    </w:p>
    <w:p>
      <w:r>
        <w:t xml:space="preserve">2. § 42 Abs. 5 Satz 5 nicht anwendbar ist.</w:t>
      </w:r>
    </w:p>
    <w:p>
      <w:r>
        <w:t xml:space="preserve">(2) Für die Bildung der Prüfungsnote nach § 44 Abs. 1 Satz 2 im Fach Ernährung und Verpflegung, in dem sowohl nach Abs. 1 Satz 2 Nr. 1 schriftlich als auch nach Abs. 1 Satz 3 praktisch geprüft wird, werden beide Noten gleich gewichtet. Bei einem Durchschnitt von n,5 wird auf die bessere Note abgerundet. Im Falle einer mündlichen Prüfung nach § 42 zählt die nach den Sätzen 1 und 2 ermittelte Note zweifach, das Ergebnis der mündlichen Prüfung einfach. § 44 Abs. 1 Satz 7 gilt auch für das Fach Ernährung und Verpflegung.</w:t>
      </w:r>
    </w:p>
    <w:p>
      <w:r>
        <w:t xml:space="preserve">(3) Für das Nichtbestehen der Abschlussprüfung gilt § 44 Abs. 2 Satz 2 bis 4 mit der Maßgabe, dass Satz 2 Nr. 1 und Satz 4 auch für das Fach Ernährung und Verpflegung anwendbar sind.</w:t>
      </w:r>
    </w:p>
    <w:p>
      <w:r>
        <w:rPr>
          <w:color w:val="555555"/>
          <w:sz w:val="17"/>
        </w:rPr>
        <w:t xml:space="preserve">Zitiervorschlag: § 47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