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BFSO (Bayern) — Vorrücken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Grundlage für die Entscheidung über das Vorrücken in das zweite Schuljahr bilden die Leistungen in den Vorrückungsfächern des ersten Schuljahres. Vorrückungsfächer sind</w:t>
      </w:r>
    </w:p>
    <w:p>
      <w:r>
        <w:t xml:space="preserve">1. in den Ausbildungsrichtungen nach § 1 Abs. 1 Satz 1 Nr. 1 bis 5 alle Pflicht- und Wahlpflichtfächer mit Ausnahme des Fachs Sport und</w:t>
      </w:r>
    </w:p>
    <w:p>
      <w:r>
        <w:t xml:space="preserve">2. in den Ausbildungsrichtungen nach § 1 Abs. 1 Satz 1 Nr. 6 alle Pflicht- und Wahlpflichtfächer.</w:t>
      </w:r>
    </w:p>
    <w:p>
      <w:r>
        <w:t xml:space="preserve">Vom Vorrücken in das zweite und dritte Schuljahr ist ausgeschlossen, wer im Jahreszeugnis</w:t>
      </w:r>
    </w:p>
    <w:p>
      <w:r>
        <w:t xml:space="preserve">1. in einem Vorrückungsfach die Note 6,</w:t>
      </w:r>
    </w:p>
    <w:p>
      <w:r>
        <w:t xml:space="preserve">2. in zwei Vorrückungsfächern die Note 5 oder</w:t>
      </w:r>
    </w:p>
    <w:p>
      <w:r>
        <w:t xml:space="preserve">3. an Stelle einer Note eine Bemerkung nach § 28 Abs. 3 Satz 2</w:t>
      </w:r>
    </w:p>
    <w:p>
      <w:r>
        <w:t xml:space="preserve">erhalten hat, sofern nicht unter den Voraussetzungen von § 24 ein Notenausgleich zugebilligt oder unter den Voraussetzungen des § 25 ein Vorrücken auf Probe gestattet wird. In der Ausbildungsrichtung nach § 1 Abs. 1 Satz 1 Nr. 2 ist unbeschadet von Satz 3 vom Vorrücken in das zweite und dritte Schuljahr auch ausgeschlossen, wer im Fach Sozialpädagogische Praxis eine schlechtere Note als 4 hat. Satz 4 gilt entsprechend für das Fach Sozialpflegerische Praxis der Ausbildungsrichtung nach § 1 Abs. 1 Satz 1 Nr. 3. Vom Vorrücken ist ferner ausgeschlossen, wer in der Ausbildungsrichtung nach § 1 Abs. 1 Satz 1 Nr. 1 aus von ihm zu vertretenden Gründen keine erfolgreichen Praktikumswochen nachweist. Für die Ausbildungsrichtungen nach § 1 Abs. 1 Satz 1 Nr. 4 und 5 gilt Satz 6 für das Betriebspraktikum entsprechend. Die Entscheidung über das Vorrücken trifft unbeschadet des § 28 Abs. 2 die Klassenkonferenz.</w:t>
      </w:r>
    </w:p>
    <w:p>
      <w:r>
        <w:t xml:space="preserve">(2) An der Berufsfachschule nach § 1 Abs. 1 Satz 1 Nr. 6 darf in das dritte Schuljahr nur vorrücken, wer die Abschlussprüfung für Fremdsprachenkorrespondentinnen und Fremdsprachenkorrespondenten oder eine andere vom Staatsministerium allgemein oder im Einzelfall als gleichwertig anerkannte Prüfung bestanden hat.</w:t>
      </w:r>
    </w:p>
    <w:p>
      <w:r>
        <w:rPr>
          <w:color w:val="555555"/>
          <w:sz w:val="17"/>
        </w:rPr>
        <w:t xml:space="preserve">Zitiervorschlag: § 23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