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BFSO (Bayern) — Leistungsnachweise an Berufsfachschulen nach § 1 Abs. 1 Satz 1 Nr. 6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jedem Pflicht- und Wahlpflichtfach sind im Schulhalbjahr schriftliche und mündliche Leistungsnachweise in angemessener Zahl zu erheben, soweit in Abs. 2 nichts Abweichendes geregelt ist.</w:t>
      </w:r>
    </w:p>
    <w:p>
      <w:r>
        <w:t xml:space="preserve">(2) In zwei- und mehrstündigen Pflicht- und Wahlpflichtfächern sind im Schuljahr mindestens zwei Schulaufgaben, in einstündigen Pflicht- und Wahlpflichtfächern mindestens zwei Kurzarbeiten zu fertigen. Jede der nach Satz 1 geforderten Schulaufgaben kann durch zwei Kurzarbeiten oder eine praktische Leistung ersetzt werden.</w:t>
      </w:r>
    </w:p>
    <w:p>
      <w:r>
        <w:t xml:space="preserve">(3) § 15 Abs. 10 Satz 1 und 2 gilt entsprechend. Abweichend von § 15 Abs. 10 Satz 2 wird die Entscheidung nach Abs. 2 Satz 2 zu Beginn des Schuljahres von der zuständigen Lehrkraft im Benehmen mit der Fachbetreuung getroffen.</w:t>
      </w:r>
    </w:p>
    <w:p>
      <w:r>
        <w:rPr>
          <w:color w:val="555555"/>
          <w:sz w:val="17"/>
        </w:rPr>
        <w:t xml:space="preserve">Zitiervorschlag: § 16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