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BFSO (Bayern) — Geltungsbereich</w:t>
      </w:r>
    </w:p>
    <w:p>
      <w:r>
        <w:rPr>
          <w:color w:val="555555"/>
          <w:sz w:val="18"/>
        </w:rPr>
        <w:t xml:space="preserve">Berufsfachschulordnung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Schulordnung gilt für die öffentlichen Berufsfachschulen und die staatlich anerkannten Ersatzschulen mit dem Charakter einer öffentlichen Schule der folgenden Ausbildungsrichtungen:</w:t>
      </w:r>
    </w:p>
    <w:p>
      <w:r>
        <w:t xml:space="preserve">1. Ernährung und Versorgung,</w:t>
      </w:r>
    </w:p>
    <w:p>
      <w:r>
        <w:t xml:space="preserve">2. Kinderpflege,</w:t>
      </w:r>
    </w:p>
    <w:p>
      <w:r>
        <w:t xml:space="preserve">3. Sozialpflege,</w:t>
      </w:r>
    </w:p>
    <w:p>
      <w:r>
        <w:t xml:space="preserve">4. Assistentinnen und Assistenten für Hotel- und Tourismusmanagement,</w:t>
      </w:r>
    </w:p>
    <w:p>
      <w:r>
        <w:t xml:space="preserve">5. technische Assistentinnen und Assistenten für Informatik und</w:t>
      </w:r>
    </w:p>
    <w:p>
      <w:r>
        <w:t xml:space="preserve">6. Fremdsprachenberufe:</w:t>
      </w:r>
    </w:p>
    <w:p>
      <w:r>
        <w:t xml:space="preserve">a) Fremdsprachenkorrespondentinnen und Fremdsprachenkorrespondenten,</w:t>
      </w:r>
    </w:p>
    <w:p>
      <w:r>
        <w:t xml:space="preserve">b) Euro-Korrespondentinnen und Euro-Korrespondenten.</w:t>
      </w:r>
    </w:p>
    <w:p>
      <w:r>
        <w:t xml:space="preserve">Berufsfachschulen für Fremdsprachenberufe können neben der Ausbildungsrichtung nach Satz 1 Nr. 6 Buchst. a auch die Ausbildungsrichtung nach Satz 1 Nr. 6 Buchst. b anbieten. Im Übrigen können Berufsfachschulen nur eine der Ausbildungsrichtungen nach Satz 1 Nr. 1 bis 5 anbieten.</w:t>
      </w:r>
    </w:p>
    <w:p>
      <w:r>
        <w:t xml:space="preserve">(2) Diese Schulordnung gilt für öffentliche Berufsfachschulen anderer Ausbildungsrichtungen entsprechend, ausgenommen die Berufsfachschulen des Gesundheitswesens, soweit keine speziellen Regelungen vorhanden sind.</w:t>
      </w:r>
    </w:p>
    <w:p>
      <w:r>
        <w:t xml:space="preserve">(3) Für staatlich genehmigte und staatlich anerkannte Ersatzschulen gilt diese Schulordnung im Rahmen der Art. 90, 92 Abs. 2 Nr. 2 und Abs. 5 sowie Art. 93 des Bayerischen Gesetzes über das Erziehungs- und Unterrichtswesen (BayEUG), für Letztere darüber hinaus im Rahmen des Art. 100 Abs. 2 BayEUG.</w:t>
      </w:r>
    </w:p>
    <w:p>
      <w:r>
        <w:rPr>
          <w:color w:val="555555"/>
          <w:sz w:val="17"/>
        </w:rPr>
        <w:t xml:space="preserve">Zitiervorschlag: § 1 BFSO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