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BFSO Musik (Bayern) — (zu § 32 Abs. 2 Satz 1) Prüfungspflichtige Fächer und Form der Abschlussprüfung der zweijährigen Ausbildung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Fachrichtungen</w:t>
      </w:r>
    </w:p>
    <w:p>
      <w:r>
        <w:t xml:space="preserve">1.</w:t>
      </w:r>
    </w:p>
    <w:p>
      <w:r>
        <w:t xml:space="preserve">Hauptfächer</w:t>
      </w:r>
    </w:p>
    <w:p>
      <w:r>
        <w:t xml:space="preserve">Hauptfachinstrument oder Gesang, in der Fachrichtung Musical: alle Hauptfächer</w:t>
      </w:r>
    </w:p>
    <w:p>
      <w:r>
        <w:t xml:space="preserve">p</w:t>
      </w:r>
    </w:p>
    <w:p>
      <w:r>
        <w:t xml:space="preserve">Chorleitung/Ensembleleitung</w:t>
      </w:r>
    </w:p>
    <w:p>
      <w:r>
        <w:t xml:space="preserve">p</w:t>
      </w:r>
    </w:p>
    <w:p>
      <w:r>
        <w:t xml:space="preserve">2.</w:t>
      </w:r>
    </w:p>
    <w:p>
      <w:r>
        <w:t xml:space="preserve">Pflichtfächer</w:t>
      </w:r>
    </w:p>
    <w:p>
      <w:r>
        <w:t xml:space="preserve">Pflichtfachinstrument</w:t>
      </w:r>
    </w:p>
    <w:p>
      <w:r>
        <w:t xml:space="preserve">p</w:t>
      </w:r>
    </w:p>
    <w:p>
      <w:r>
        <w:t xml:space="preserve">Gehörbildung</w:t>
      </w:r>
    </w:p>
    <w:p>
      <w:r>
        <w:t xml:space="preserve">s+p</w:t>
      </w:r>
    </w:p>
    <w:p>
      <w:r>
        <w:t xml:space="preserve">Musikgeschichte und Literatur</w:t>
      </w:r>
    </w:p>
    <w:p>
      <w:r>
        <w:t xml:space="preserve">s</w:t>
      </w:r>
    </w:p>
    <w:p>
      <w:r>
        <w:t xml:space="preserve">Harmonielehre, Tonsatz</w:t>
      </w:r>
    </w:p>
    <w:p>
      <w:r>
        <w:t xml:space="preserve">s+p</w:t>
      </w:r>
    </w:p>
    <w:p>
      <w:r>
        <w:t xml:space="preserve">Unterrichtsmethodik des Hauptfachinstruments oder des Gesangs in Grundzügen</w:t>
      </w:r>
    </w:p>
    <w:p>
      <w:r>
        <w:t xml:space="preserve">s</w:t>
      </w:r>
    </w:p>
    <w:p>
      <w:r>
        <w:t xml:space="preserve">In der Fachrichtung Kirchenmusik zusätzlich</w:t>
      </w:r>
    </w:p>
    <w:p>
      <w:r>
        <w:t xml:space="preserve">Liturgisches Orgelspiel</w:t>
      </w:r>
    </w:p>
    <w:p>
      <w:r>
        <w:t xml:space="preserve">p</w:t>
      </w:r>
    </w:p>
    <w:p>
      <w:r>
        <w:t xml:space="preserve">Gregorianischer Choral/Deutscher Liturgiegesang oder Hymnologie</w:t>
      </w:r>
    </w:p>
    <w:p>
      <w:r>
        <w:t xml:space="preserve">s+p</w:t>
      </w:r>
    </w:p>
    <w:p>
      <w:r>
        <w:t xml:space="preserve">Liturgik</w:t>
      </w:r>
    </w:p>
    <w:p>
      <w:r>
        <w:t xml:space="preserve">s</w:t>
      </w:r>
    </w:p>
    <w:p>
      <w:r>
        <w:t xml:space="preserve">In der Fachrichtung Musical zusätzlich</w:t>
      </w:r>
    </w:p>
    <w:p>
      <w:r>
        <w:t xml:space="preserve">Geschichte des Musicals</w:t>
      </w:r>
    </w:p>
    <w:p>
      <w:r>
        <w:t xml:space="preserve">s</w:t>
      </w:r>
    </w:p>
    <w:p>
      <w:r>
        <w:t xml:space="preserve">In der Fachrichtung Volksmusik zusätzlich</w:t>
      </w:r>
    </w:p>
    <w:p>
      <w:r>
        <w:t xml:space="preserve">2. Pflichtfachinstrument</w:t>
      </w:r>
    </w:p>
    <w:p>
      <w:r>
        <w:t xml:space="preserve">p</w:t>
      </w:r>
    </w:p>
    <w:p>
      <w:r>
        <w:rPr>
          <w:color w:val="555555"/>
          <w:sz w:val="17"/>
        </w:rPr>
        <w:t xml:space="preserve">Zitiervorschlag: Anlage 2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