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BFSO Musik (Bayern) — Stundentafel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Berufsfachschule für Musik gilt die Stundentafel nach Anlage 1 . Das Staatsministerium für Unterricht und Kultus (Staatsministerium) kann bei Vorliegen besonderer Umstände Abweichungen von der Stundentafel für die Dauer eines Schuljahres, bei Ersatzschulen über die Dauer eines Schuljahres hinaus genehmigen.</w:t>
      </w:r>
    </w:p>
    <w:p>
      <w:r>
        <w:t xml:space="preserve">(2) Keiner Genehmigung bedürfen organisatorisch bedingte Verblockungen des Unterrichts in einzelnen Fächern oder eine Zusammenfassung einzelner Fächer im Rahmen der Gesamtstunden der betroffenen Fächer im Schuljahr.</w:t>
      </w:r>
    </w:p>
    <w:p>
      <w:r>
        <w:rPr>
          <w:color w:val="555555"/>
          <w:sz w:val="17"/>
        </w:rPr>
        <w:t xml:space="preserve">Zitiervorschlag: § 9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