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BFSO Musik (Bayern) — Höchstausbildungsdauer, Austritt</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Höchstausbildungsdauer beträgt zwei Jahre mehr als die Dauer der Regelausbildung nach § 2 Abs. 3 und 5 in der gewählten Organisationsform.</w:t>
      </w:r>
    </w:p>
    <w:p>
      <w:r>
        <w:t xml:space="preserve">(2) Für die Berechnung der Höchstausbildungsdauer zählen alle an öffentlichen oder staatlich anerkannten Berufsfachschulen für Musik verbrachten Jahre, auch wenn sie durch Nichtbestehen der Probezeit, Austritt oder Krankheit verkürzt waren. Die Höchstausbildungsdauer gilt auch dann als überschritten, wenn feststeht, dass der Abschluss der Schule nicht mehr innerhalb der Höchstausbildungsdauer erreicht werden kann.</w:t>
      </w:r>
    </w:p>
    <w:p>
      <w:r>
        <w:t xml:space="preserve">(3) Der Austritt lässt das einmal erworbene Recht zum Vorrücken unberührt. Die Leiterin oder der Leiter der zuletzt besuchten Berufsfachschule hat die Erfüllung der Berufsschulpflicht zu überprüfen und bei Fortbestehen die zuständige oder nächstgelegene Berufsschule zu benachrichtigen.</w:t>
      </w:r>
    </w:p>
    <w:p>
      <w:r>
        <w:rPr>
          <w:color w:val="555555"/>
          <w:sz w:val="17"/>
        </w:rPr>
        <w:t xml:space="preserve">Zitiervorschlag: § 18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