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BFSO Musik (Bayern) — Geltungsbereich</w:t>
      </w:r>
    </w:p>
    <w:p>
      <w:r>
        <w:rPr>
          <w:color w:val="555555"/>
          <w:sz w:val="18"/>
        </w:rPr>
        <w:t xml:space="preserve">Berufsfachschulordnung Musik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Schulordnung gilt für die öffentlichen Berufsfachschulen für Musik.</w:t>
      </w:r>
    </w:p>
    <w:p>
      <w:r>
        <w:t xml:space="preserve">(2) Für Ersatzschulen gilt diese Schulordnung im Rahmen der Art. 90, 92 Abs. 2 Nr. 2 und Abs. 5 Sätze 1 und 2 und Art. 93 BayEUG, für staatlich anerkannte Ersatzschulen gilt sie darüber hinaus im Rahmen des Art. 100 Abs. 2 BayEUG.</w:t>
      </w:r>
    </w:p>
    <w:p>
      <w:r>
        <w:rPr>
          <w:color w:val="555555"/>
          <w:sz w:val="17"/>
        </w:rPr>
        <w:t xml:space="preserve">Zitiervorschlag: § 1 BFSO Musik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https://recht.nulegal.eu/gesetze/BFSO%20Musik/1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