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BFSGV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rPr>
          <w:rFonts w:ascii="Courier New" w:hAnsi="Courier New"/>
          <w:sz w:val="17"/>
        </w:rPr>
        <w:t xml:space="preserve">§ 1    Anwendungsbereich</w:t>
      </w:r>
    </w:p>
    <w:p>
      <w:r>
        <w:rPr>
          <w:rFonts w:ascii="Courier New" w:hAnsi="Courier New"/>
          <w:sz w:val="17"/>
        </w:rPr>
        <w:t xml:space="preserve">§ 2    Begriffsbestimmungen</w:t>
      </w:r>
    </w:p>
    <w:p>
      <w:r>
        <w:rPr>
          <w:rFonts w:ascii="Courier New" w:hAnsi="Courier New"/>
          <w:sz w:val="17"/>
        </w:rPr>
        <w:t xml:space="preserve">§ 3    Stand der Technik</w:t>
      </w:r>
    </w:p>
    <w:p>
      <w:r>
        <w:rPr>
          <w:rFonts w:ascii="Courier New" w:hAnsi="Courier New"/>
          <w:sz w:val="17"/>
        </w:rPr>
        <w:t xml:space="preserve">§ 4    Anforderungen an die Bereitstellung von Informationen für Produkte</w:t>
      </w:r>
    </w:p>
    <w:p>
      <w:r>
        <w:rPr>
          <w:rFonts w:ascii="Courier New" w:hAnsi="Courier New"/>
          <w:sz w:val="17"/>
        </w:rPr>
        <w:t xml:space="preserve">§ 5    Anforderungen an Produktverpackungen und Anleitungen</w:t>
      </w:r>
    </w:p>
    <w:p>
      <w:r>
        <w:rPr>
          <w:rFonts w:ascii="Courier New" w:hAnsi="Courier New"/>
          <w:sz w:val="17"/>
        </w:rPr>
        <w:t xml:space="preserve">§ 6    Anforderungen an Gestaltung von Benutzerschnittstelle und Funktionalität von Produkten</w:t>
      </w:r>
    </w:p>
    <w:p>
      <w:r>
        <w:rPr>
          <w:rFonts w:ascii="Courier New" w:hAnsi="Courier New"/>
          <w:sz w:val="17"/>
        </w:rPr>
        <w:t xml:space="preserve">§ 7    Zusätzliche branchenspezifische Anforderungen an Selbstbedienungsterminals</w:t>
      </w:r>
    </w:p>
    <w:p>
      <w:r>
        <w:rPr>
          <w:rFonts w:ascii="Courier New" w:hAnsi="Courier New"/>
          <w:sz w:val="17"/>
        </w:rPr>
        <w:t xml:space="preserve">§ 8    Zusätzliche branchenspezifische Anforderungen an E-Book-Lesegeräte</w:t>
      </w:r>
    </w:p>
    <w:p>
      <w:r>
        <w:rPr>
          <w:rFonts w:ascii="Courier New" w:hAnsi="Courier New"/>
          <w:sz w:val="17"/>
        </w:rPr>
        <w:t xml:space="preserve">§ 9    Zusätzliche branchenspezifische Anforderungen an Verbraucherendgeräte mit interaktivem Leistungsumfang, die zur Bereitstellung von Telekommunikationsdiensten eingesetzt werden</w:t>
      </w:r>
    </w:p>
    <w:p>
      <w:r>
        <w:rPr>
          <w:rFonts w:ascii="Courier New" w:hAnsi="Courier New"/>
          <w:sz w:val="17"/>
        </w:rPr>
        <w:t xml:space="preserve">§ 10    Zusätzliche branchenspezifische Anforderungen an Verbraucherendgeräte mit interaktivem Leistungsumfang, die für den Zugang zu audiovisuellen Mediendiensten verwendet werden</w:t>
      </w:r>
    </w:p>
    <w:p>
      <w:r>
        <w:rPr>
          <w:rFonts w:ascii="Courier New" w:hAnsi="Courier New"/>
          <w:sz w:val="17"/>
        </w:rPr>
        <w:t xml:space="preserve">§ 11    Unterstützungsdienste</w:t>
      </w:r>
    </w:p>
    <w:p>
      <w:r>
        <w:rPr>
          <w:rFonts w:ascii="Courier New" w:hAnsi="Courier New"/>
          <w:sz w:val="17"/>
        </w:rPr>
        <w:t xml:space="preserve">§ 12    Allgemeine Anforderungen an Dienstleistungen</w:t>
      </w:r>
    </w:p>
    <w:p>
      <w:r>
        <w:rPr>
          <w:rFonts w:ascii="Courier New" w:hAnsi="Courier New"/>
          <w:sz w:val="17"/>
        </w:rPr>
        <w:t xml:space="preserve">§ 13    Zusätzliche Anforderungen an bestimmte Dienstleistungen</w:t>
      </w:r>
    </w:p>
    <w:p>
      <w:r>
        <w:rPr>
          <w:rFonts w:ascii="Courier New" w:hAnsi="Courier New"/>
          <w:sz w:val="17"/>
        </w:rPr>
        <w:t xml:space="preserve">§ 14    Zusätzliche Anforderungen an Telekommunikationsdienste</w:t>
      </w:r>
    </w:p>
    <w:p>
      <w:r>
        <w:rPr>
          <w:rFonts w:ascii="Courier New" w:hAnsi="Courier New"/>
          <w:sz w:val="17"/>
        </w:rPr>
        <w:t xml:space="preserve">§ 15    Zusätzliche Anforderungen an Personenbeförderungsdienste</w:t>
      </w:r>
    </w:p>
    <w:p>
      <w:r>
        <w:rPr>
          <w:rFonts w:ascii="Courier New" w:hAnsi="Courier New"/>
          <w:sz w:val="17"/>
        </w:rPr>
        <w:t xml:space="preserve">§ 16    Zusätzliche Anforderungen an Stadt-, Vorort- und Regionalverkehrsdienste</w:t>
      </w:r>
    </w:p>
    <w:p>
      <w:r>
        <w:rPr>
          <w:rFonts w:ascii="Courier New" w:hAnsi="Courier New"/>
          <w:sz w:val="17"/>
        </w:rPr>
        <w:t xml:space="preserve">§ 17    Zusätzliche Anforderungen an Bankdienstleistungen für Verbraucher</w:t>
      </w:r>
    </w:p>
    <w:p>
      <w:r>
        <w:rPr>
          <w:rFonts w:ascii="Courier New" w:hAnsi="Courier New"/>
          <w:sz w:val="17"/>
        </w:rPr>
        <w:t xml:space="preserve">§ 18    Zusätzliche Anforderungen an E-Books</w:t>
      </w:r>
    </w:p>
    <w:p>
      <w:r>
        <w:rPr>
          <w:rFonts w:ascii="Courier New" w:hAnsi="Courier New"/>
          <w:sz w:val="17"/>
        </w:rPr>
        <w:t xml:space="preserve">§ 19    Zusätzliche Anforderungen an Dienstleistungen im elektronischen Geschäftsverkehr</w:t>
      </w:r>
    </w:p>
    <w:p>
      <w:r>
        <w:rPr>
          <w:rFonts w:ascii="Courier New" w:hAnsi="Courier New"/>
          <w:sz w:val="17"/>
        </w:rPr>
        <w:t xml:space="preserve">§ 20    Anwendung von funktionalen Leistungskriterien</w:t>
      </w:r>
    </w:p>
    <w:p>
      <w:r>
        <w:rPr>
          <w:rFonts w:ascii="Courier New" w:hAnsi="Courier New"/>
          <w:sz w:val="17"/>
        </w:rPr>
        <w:t xml:space="preserve">§ 21    Funktionale Leistungskriterien</w:t>
      </w:r>
    </w:p>
    <w:p>
      <w:r>
        <w:rPr>
          <w:rFonts w:ascii="Courier New" w:hAnsi="Courier New"/>
          <w:sz w:val="17"/>
        </w:rPr>
        <w:t xml:space="preserve">§ 22    Inkrafttreten</w:t>
      </w:r>
    </w:p>
    <w:p>
      <w:r>
        <w:rPr>
          <w:color w:val="555555"/>
          <w:sz w:val="17"/>
        </w:rPr>
        <w:t xml:space="preserve">Zitiervorschlag: Inhaltsübersicht BFSGV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BFSGV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