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BFSGV — Zusätzliche branchenspezifische Anforderungen an Verbraucherendgeräte mit interaktivem Leistungsumfang, die zur Bereitstellung von Telekommunikationsdiensten eingesetzt werden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Verbraucherendgeräte mit interaktivem Leistungsumfang, die zur Bereitstellung von Telekommunikationsdiensten eingesetzt werden, müssen</w:t>
      </w:r>
    </w:p>
    <w:p>
      <w:pPr>
        <w:ind w:left="420"/>
      </w:pPr>
      <w:r>
        <w:t xml:space="preserve">1. die Verarbeitung von Text in Echtzeit unterstützen, wenn sie zusätzlich zu Sprache auch Text verwenden,</w:t>
      </w:r>
    </w:p>
    <w:p>
      <w:pPr>
        <w:ind w:left="420"/>
      </w:pPr>
      <w:r>
        <w:t xml:space="preserve">2. eine hohe Audioqualität unterstützen,</w:t>
      </w:r>
    </w:p>
    <w:p>
      <w:pPr>
        <w:ind w:left="420"/>
      </w:pPr>
      <w:r>
        <w:t xml:space="preserve">3. die Abwicklung von Gesamtgesprächsdiensten unterstützen, wenn sie zusätzlich zu Text und Sprache oder in Kombination damit auch Video verwenden; dies schließt synchronisierte Sprache, Text in Echtzeit und Video mit einer Bildauflösung, die die Verständigung über Gebärdensprache ermöglicht, ein,</w:t>
      </w:r>
    </w:p>
    <w:p>
      <w:pPr>
        <w:ind w:left="420"/>
      </w:pPr>
      <w:r>
        <w:t xml:space="preserve">4. eine effektive drahtlose Verbindung zu Hörhilfetechnologie sicherstellen und</w:t>
      </w:r>
    </w:p>
    <w:p>
      <w:pPr>
        <w:ind w:left="420"/>
      </w:pPr>
      <w:r>
        <w:t xml:space="preserve">5. so gestaltet sein, dass keine Interferenzen mit Hilfsmitteln auftreten.</w:t>
      </w:r>
    </w:p>
    <w:p>
      <w:r>
        <w:rPr>
          <w:color w:val="555555"/>
          <w:sz w:val="17"/>
        </w:rPr>
        <w:t xml:space="preserve">Zitiervorschlag: § 9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