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BFSGV — Zusätzliche branchenspezifische Anforderungen an Selbstbedienungsterminals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(1) Selbstbedienungsterminals müssen</w:t>
      </w:r>
    </w:p>
    <w:p>
      <w:pPr>
        <w:ind w:left="420"/>
      </w:pPr>
      <w:r>
        <w:t xml:space="preserve">1. mit Sprachausgabe ausgestattet sein,</w:t>
      </w:r>
    </w:p>
    <w:p>
      <w:pPr>
        <w:ind w:left="420"/>
      </w:pPr>
      <w:r>
        <w:t xml:space="preserve">2. die Benutzung von Einzel-Kopfhörern ermöglichen,</w:t>
      </w:r>
    </w:p>
    <w:p>
      <w:pPr>
        <w:ind w:left="420"/>
      </w:pPr>
      <w:r>
        <w:t xml:space="preserve">3. den Verbraucher über mehr als einen sensorischen Kanal darauf hinweisen, wenn die für die erforderliche Antwort zur Verfügung gestellte Zeit begrenzt ist,</w:t>
      </w:r>
    </w:p>
    <w:p>
      <w:pPr>
        <w:ind w:left="420"/>
      </w:pPr>
      <w:r>
        <w:t xml:space="preserve">4. die Verlängerung der für die Antwort zur Verfügung gestellten Zeit ermöglichen,</w:t>
      </w:r>
    </w:p>
    <w:p>
      <w:pPr>
        <w:ind w:left="420"/>
      </w:pPr>
      <w:r>
        <w:t xml:space="preserve">5. mit Tasten und Bedienelementen mit ausreichendem Kontrast und taktiler Erkennbarkeit ausgestattet sein, soweit Tasten und Bedienelemente verwendet werden und</w:t>
      </w:r>
    </w:p>
    <w:p>
      <w:pPr>
        <w:ind w:left="420"/>
      </w:pPr>
      <w:r>
        <w:t xml:space="preserve">6. bei der Verwendung von Audiosignalen oder akustischen Signalen solche Audiosignale oder akustische Signale verwenden, die mit auf Unionsebene verfügbaren Hilfsmitteln und Technologien, etwa mit Hörhilfetechnologie wie Hörgeräten, Telefonspulen, Cochlea-Implantaten und technischen Hörhilfen, kompatibel sind.</w:t>
      </w:r>
    </w:p>
    <w:p>
      <w:r>
        <w:t xml:space="preserve">(2) Selbstbedienungsterminals dürfen keine Aktivierung von Barrierefreiheitsfunktionen erfordern, damit Selbstbedienungsterminals von Personen, die auf entsprechende Funktionen angewiesen sind, eingeschaltet werden können.</w:t>
      </w:r>
    </w:p>
    <w:p>
      <w:r>
        <w:rPr>
          <w:color w:val="555555"/>
          <w:sz w:val="17"/>
        </w:rPr>
        <w:t xml:space="preserve">Zitiervorschlag: § 7 BFSGV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