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BFSGV — Stand der Technik</w:t>
      </w:r>
    </w:p>
    <w:p>
      <w:r>
        <w:rPr>
          <w:color w:val="555555"/>
          <w:sz w:val="18"/>
        </w:rPr>
        <w:t xml:space="preserve">Verordnung zum Barrierefreiheitsstärkungsgesetz</w:t>
      </w:r>
    </w:p>
    <w:p>
      <w:r>
        <w:rPr>
          <w:color w:val="555555"/>
          <w:sz w:val="18"/>
        </w:rPr>
        <w:t xml:space="preserve">Stand: 28.06.2025 (konsolidierte Textfassung, kein amtliches Inkrafttretensdatum)</w:t>
      </w:r>
    </w:p>
    <w:p>
      <w:r>
        <w:t xml:space="preserve">(1) Bei der Erfüllung der Anforderungen nach dieser Rechtsverordnung ist der Stand der Technik zu beachten. Von dem Stand der Technik kann abgewichen werden, wenn auf andere Weise die Anforderungen dieser Rechtsverordnung in gleichem Maße erfüllt werden.</w:t>
      </w:r>
    </w:p>
    <w:p>
      <w:r>
        <w:t xml:space="preserve">(2) Die Bundesfachstelle für Barrierefreiheit veröffentlicht auf ihrer Website regelmäßig</w:t>
      </w:r>
    </w:p>
    <w:p>
      <w:pPr>
        <w:ind w:left="420"/>
      </w:pPr>
      <w:r>
        <w:t xml:space="preserve">1. eine Auflistung der wichtigsten zu beachtenden Standards, aus denen die Barrierefreiheitsanforderungen für die in § 1 genannten Produkte und Dienstleistungen detailliert hervorgehen,</w:t>
      </w:r>
    </w:p>
    <w:p>
      <w:pPr>
        <w:ind w:left="420"/>
      </w:pPr>
      <w:r>
        <w:t xml:space="preserve">2. Konformitätstabellen, die einen Überblick zu den wichtigsten Barrierefreiheitsanforderungen für die in § 1 genannten Produkte und Dienstleistungen geben und</w:t>
      </w:r>
    </w:p>
    <w:p>
      <w:pPr>
        <w:ind w:left="420"/>
      </w:pPr>
      <w:r>
        <w:t xml:space="preserve">3. aktuelle Informationen zu den zu beachtenden Standards.</w:t>
      </w:r>
    </w:p>
    <w:p>
      <w:r>
        <w:rPr>
          <w:color w:val="555555"/>
          <w:sz w:val="17"/>
        </w:rPr>
        <w:t xml:space="preserve">Zitiervorschlag: § 3 BFSGV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https://recht.nulegal.eu/gesetze/BFSGV/3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