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BFSGV — Inkrafttreten</w:t>
      </w:r>
    </w:p>
    <w:p>
      <w:r>
        <w:rPr>
          <w:color w:val="555555"/>
          <w:sz w:val="18"/>
        </w:rPr>
        <w:t xml:space="preserve">Verordnung zum Barrierefreiheitsstärkungsgesetz</w:t>
      </w:r>
    </w:p>
    <w:p>
      <w:r>
        <w:rPr>
          <w:color w:val="555555"/>
          <w:sz w:val="18"/>
        </w:rPr>
        <w:t xml:space="preserve">Stand: 28.06.2025 (konsolidierte Textfassung, kein amtliches Inkrafttretensdatum)</w:t>
      </w:r>
    </w:p>
    <w:p>
      <w:r>
        <w:t xml:space="preserve">Diese Verordnung tritt am 28. Juni 2025 in Kraft.</w:t>
      </w:r>
    </w:p>
    <w:p>
      <w:r>
        <w:rPr>
          <w:color w:val="555555"/>
          <w:sz w:val="17"/>
        </w:rPr>
        <w:t xml:space="preserve">Zitiervorschlag: § 22 BFSGV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https://recht.nulegal.eu/gesetze/BFSGV/22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