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BFSGV — Anwendung von funktionalen Leistungskriterien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(1) Funktionen, die die Gestaltung und Herstellung von Produkten sowie die Erbringung von Dienstleistungen betreffen und für die keine Anforderungen in den §§ 4 bis 19 aufgestellt werden, gelten als barrierefrei, wenn sie die Anforderungen an die funktionalen Leistungskriterien und -fähigkeiten der Nutzer im Sinne des § 21 erfüllen.</w:t>
      </w:r>
    </w:p>
    <w:p>
      <w:r>
        <w:t xml:space="preserve">(2) Soweit die in den §§ 4 bis 19 festgelegten Anforderungen eine spezifische technische Anforderung enthalten, dürfen die funktionalen Leistungskriterien nur dann als Alternative zu dieser technischen Anforderung zur Anwendung kommen, wenn</w:t>
      </w:r>
    </w:p>
    <w:p>
      <w:pPr>
        <w:ind w:left="420"/>
      </w:pPr>
      <w:r>
        <w:t xml:space="preserve">1. die übrigen Anforderungen in den §§ 4 bis 19 erfüllt werden und</w:t>
      </w:r>
    </w:p>
    <w:p>
      <w:pPr>
        <w:ind w:left="420"/>
      </w:pPr>
      <w:r>
        <w:t xml:space="preserve">2. die Anwendung der funktionalen Leistungskriterien dazu führt, dass die Gestaltung und Herstellung eines Produktes oder die Erbringung einer Dienstleistung in einer entsprechenden oder besseren Barrierefreiheit resultiert.</w:t>
      </w:r>
    </w:p>
    <w:p>
      <w:r>
        <w:rPr>
          <w:color w:val="555555"/>
          <w:sz w:val="17"/>
        </w:rPr>
        <w:t xml:space="preserve">Zitiervorschlag: § 20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