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BFSGV — Zusätzliche Anforderungen an Dienstleistungen im elektronischen Geschäftsverkehr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Bei Dienstleistungen im elektronischen Geschäftsverkehr müssen</w:t>
      </w:r>
    </w:p>
    <w:p>
      <w:pPr>
        <w:ind w:left="420"/>
      </w:pPr>
      <w:r>
        <w:t xml:space="preserve">1. Informationen zur Barrierefreiheit der zum Verkauf stehenden Produkte und der angebotenen Dienstleistungen bereitgestellt werden, soweit diese Informationen vom verantwortlichen Wirtschaftsakteur zur Verfügung gestellt werden,</w:t>
      </w:r>
    </w:p>
    <w:p>
      <w:pPr>
        <w:ind w:left="420"/>
      </w:pPr>
      <w:r>
        <w:t xml:space="preserve">2. Identifizierungs-, Authentifizierungs-, Sicherheits- und Zahlungsfunktionen, wenn diese nicht in Form eines Produkts, sondern im Rahmen einer Dienstleistung bereitgestellt werden, wahrnehmbar, bedienbar, verständlich und robust gestaltet werden und</w:t>
      </w:r>
    </w:p>
    <w:p>
      <w:pPr>
        <w:ind w:left="420"/>
      </w:pPr>
      <w:r>
        <w:t xml:space="preserve">3. Identifizierungsmethoden, Authentifizierungsmethoden, elektronische Signaturen und Zahlungsdienste, wenn diese bereitgestellt werden, wahrnehmbar, bedienbar, verständlich und robust gestaltet werden.</w:t>
      </w:r>
    </w:p>
    <w:p>
      <w:r>
        <w:rPr>
          <w:color w:val="555555"/>
          <w:sz w:val="17"/>
        </w:rPr>
        <w:t xml:space="preserve">Zitiervorschlag: § 19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