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BFSGV — Zusätzliche Anforderungen an E-Books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E-Books müssen</w:t>
      </w:r>
    </w:p>
    <w:p>
      <w:pPr>
        <w:ind w:left="420"/>
      </w:pPr>
      <w:r>
        <w:t xml:space="preserve">1. die synchronisierte Bereitstellung von Text- und Audioinhalten gewährleisten, sofern sie neben Text- auch Audioinhalte enthalten,</w:t>
      </w:r>
    </w:p>
    <w:p>
      <w:pPr>
        <w:ind w:left="420"/>
      </w:pPr>
      <w:r>
        <w:t xml:space="preserve">2. gewährleisten, dass die Dateien des E-Books die ordnungsgemäße Funktionsweise assistiver Technologien nicht verhindern,</w:t>
      </w:r>
    </w:p>
    <w:p>
      <w:pPr>
        <w:ind w:left="420"/>
      </w:pPr>
      <w:r>
        <w:t xml:space="preserve">3. den Zugang zu Inhalten gewährleisten,</w:t>
      </w:r>
    </w:p>
    <w:p>
      <w:pPr>
        <w:ind w:left="420"/>
      </w:pPr>
      <w:r>
        <w:t xml:space="preserve">4. die Navigation im Dateiinhalt und im Layout einschließlich dynamischer Layouts gewährleisten,</w:t>
      </w:r>
    </w:p>
    <w:p>
      <w:pPr>
        <w:ind w:left="420"/>
      </w:pPr>
      <w:r>
        <w:t xml:space="preserve">5. eine Struktur bereitstellen,</w:t>
      </w:r>
    </w:p>
    <w:p>
      <w:pPr>
        <w:ind w:left="420"/>
      </w:pPr>
      <w:r>
        <w:t xml:space="preserve">6. Flexibilität und Wahlfreiheit bei der Darstellung der Inhalte bereitstellen,</w:t>
      </w:r>
    </w:p>
    <w:p>
      <w:pPr>
        <w:ind w:left="420"/>
      </w:pPr>
      <w:r>
        <w:t xml:space="preserve">7. alternative Wiedergabearten für den Inhalt in wahrnehmbarer, verständlicher, bedienbarer und robuster Weise ermöglichen,</w:t>
      </w:r>
    </w:p>
    <w:p>
      <w:pPr>
        <w:ind w:left="420"/>
      </w:pPr>
      <w:r>
        <w:t xml:space="preserve">8. die Interoperabilität des Inhalts mit assistiven Technologien in wahrnehmbarer, verständlicher, bedienbarer und robuster Weise ermöglichen,</w:t>
      </w:r>
    </w:p>
    <w:p>
      <w:pPr>
        <w:ind w:left="420"/>
      </w:pPr>
      <w:r>
        <w:t xml:space="preserve">9. die Auffindbarkeit der Barrierefreiheitsmerkmale durch Bereitstellung von Informationen in Form von Metadaten gewährleisten und</w:t>
      </w:r>
    </w:p>
    <w:p>
      <w:pPr>
        <w:ind w:left="420"/>
      </w:pPr>
      <w:r>
        <w:t xml:space="preserve">10. nach Maßgabe der §§ 95a bis 96 des Urheberrechtsgesetzes gewährleisten, dass Barrierefreiheitsfunktionen nicht durch technische Maßnahmen zum Schutz von Werken und sonstigen Schutzgegenständen blockiert werden.</w:t>
      </w:r>
    </w:p>
    <w:p>
      <w:r>
        <w:rPr>
          <w:color w:val="555555"/>
          <w:sz w:val="17"/>
        </w:rPr>
        <w:t xml:space="preserve">Zitiervorschlag: § 18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