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BFSGV — Zusätzliche Anforderungen an Bankdienstleistungen für Verbraucher</w:t>
      </w:r>
    </w:p>
    <w:p>
      <w:r>
        <w:rPr>
          <w:color w:val="555555"/>
          <w:sz w:val="18"/>
        </w:rPr>
        <w:t xml:space="preserve">Verordnung zum Barrierefreiheitsstärkungsgesetz</w:t>
      </w:r>
    </w:p>
    <w:p>
      <w:r>
        <w:rPr>
          <w:color w:val="555555"/>
          <w:sz w:val="18"/>
        </w:rPr>
        <w:t xml:space="preserve">Stand: 28.06.2025 (konsolidierte Textfassung, kein amtliches Inkrafttretensdatum)</w:t>
      </w:r>
    </w:p>
    <w:p>
      <w:r>
        <w:t xml:space="preserve">(1) Soweit Identifizierungsmethoden, Authentifizierungsmethoden, elektronische Signaturen, Sicherheitsfunktionen und Zahlungsdienste bereitgestellt werden, müssen diese wahrnehmbar, bedienbar, verständlich und robust sein. Eine Authentifizierungsmethode im Sinne dieser Vorschrift ist jede Methode zur Authentifizierung im Sinne des § 1 Absatz 23 des Zahlungsdiensteaufsichtsgesetzes vom 17. Juli 2017 (BGBl. I S. 2446; 2019 I S. 1113), das zuletzt durch Artikel 5 des Gesetzes vom 25. Juni 2021 (BGBl. I S. 2083) geändert worden ist.</w:t>
      </w:r>
    </w:p>
    <w:p>
      <w:r>
        <w:t xml:space="preserve">(2) Es muss gewährleistet werden, dass die Informationen zur Funktionsweise der Bankdienstleistung für Verbraucher verständlich sind, ohne dass ihr Schwierigkeitsgrad das Sprachniveau B2 des Gemeinsamen europäischen Referenzrahmens für Sprachen des Europarats überschreitet.</w:t>
      </w:r>
    </w:p>
    <w:p>
      <w:r>
        <w:rPr>
          <w:color w:val="555555"/>
          <w:sz w:val="17"/>
        </w:rPr>
        <w:t xml:space="preserve">Zitiervorschlag: § 17 BFSGV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https://recht.nulegal.eu/gesetze/BFSGV/17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