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BFSGV — Zusätzliche Anforderungen Telekommunikationsdienstleister</w:t>
      </w:r>
    </w:p>
    <w:p>
      <w:r>
        <w:rPr>
          <w:color w:val="555555"/>
          <w:sz w:val="18"/>
        </w:rPr>
        <w:t xml:space="preserve">Verordnung zum Barrierefreiheitsstärkungsgesetz</w:t>
      </w:r>
    </w:p>
    <w:p>
      <w:r>
        <w:rPr>
          <w:color w:val="555555"/>
          <w:sz w:val="18"/>
        </w:rPr>
        <w:t xml:space="preserve">Stand: 16.07.2026 (konsolidierte Textfassung, kein amtliches Inkrafttretensdatum)</w:t>
      </w:r>
    </w:p>
    <w:p>
      <w:r>
        <w:t xml:space="preserve">(1) Bei Telekommunikationsdiensten, die Sprachkommunikation ermöglichen, muss zusätzlich zur Sprachkommunikation Text in Echtzeit bereitgestellt werden. Soweit die Telekommunikationsdienste Video zur Verfügung stellen, muss ein Gesamtgesprächsdienst bereitgestellt werden.</w:t>
      </w:r>
    </w:p>
    <w:p>
      <w:r>
        <w:t xml:space="preserve">(2) Bei den in Artikel 109 Absatz 2 der Richtlinie (EU) 2018/1972 in der Fassung vom 11. Dezember 2018 genannten Notrufen muss gewährleistet sein, dass die Notrufkommunikation über Sprache und Text, einschließlich Text in Echtzeit, synchronisiert ist. Soweit die Telekommunikationsdienste Video zur Verfügung stellen, muss zusätzlich gewährleistet sein, dass die Notrufkommunikation auch als Gesamtgesprächsdienst synchronisiert ist. Die Notrufe müssen unverzüglich an die örtlich zuständige Notrufabfragestelle übermittelt werden.</w:t>
      </w:r>
    </w:p>
    <w:p>
      <w:r>
        <w:rPr>
          <w:color w:val="555555"/>
          <w:sz w:val="17"/>
        </w:rPr>
        <w:t xml:space="preserve">Zitiervorschlag: § 14 BFSGV</w:t>
      </w:r>
    </w:p>
    <w:p>
      <w:r>
        <w:rPr>
          <w:color w:val="555555"/>
          <w:sz w:val="17"/>
        </w:rPr>
        <w:t xml:space="preserve">Quelle: Bundesamt für Justiz, abgerufen 16.07.2026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