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BFSGV — Zusätzliche Anforderungen an bestimmte Dienstleistungen</w:t>
      </w:r>
    </w:p>
    <w:p>
      <w:r>
        <w:rPr>
          <w:color w:val="555555"/>
          <w:sz w:val="18"/>
        </w:rPr>
        <w:t xml:space="preserve">Verordnung zum Barrierefreiheitsstärkungsgesetz</w:t>
      </w:r>
    </w:p>
    <w:p>
      <w:r>
        <w:rPr>
          <w:color w:val="555555"/>
          <w:sz w:val="18"/>
        </w:rPr>
        <w:t xml:space="preserve">Stand: 28.06.2025 (konsolidierte Textfassung, kein amtliches Inkrafttretensdatum)</w:t>
      </w:r>
    </w:p>
    <w:p>
      <w:r>
        <w:t xml:space="preserve">Damit Menschen mit Behinderungen die Dienstleistungen der §§ 14 bis 19 in größtmöglichem Umfang nutzen können, müssen diese Dienstleistungen Funktionen, Vorgehensweisen, Strategien und Verfahren sowie Änderungen bei der Ausführung vorsehen, die auf die Bedürfnisse von Menschen mit Behinderungen ausgerichtet sind und die Interoperabilität mit assistiven Technologien gewährleisten.</w:t>
      </w:r>
    </w:p>
    <w:p>
      <w:r>
        <w:rPr>
          <w:color w:val="555555"/>
          <w:sz w:val="17"/>
        </w:rPr>
        <w:t xml:space="preserve">Zitiervorschlag: § 13 BFSGV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