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BFSG — Besondere Kennzeichnungs- und Informationspflichten des Herstellers</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Der Hersteller hat dafür zu sorgen, dass sein Produkt eine Typen-, Chargen- oder Seriennummer oder ein anderes Kennzeichen zu seiner Identifikation nach Maßgabe des Absatzes 4 trägt. Falls dies aufgrund der Größe oder der Art des Produkts nicht möglich ist, hat der Hersteller dafür zu sorgen, dass die zur Identifikation erforderlichen Informationen auf der Verpackung oder in einer dem Produkt beigefügten Unterlage angegeben werden.</w:t>
      </w:r>
    </w:p>
    <w:p>
      <w:r>
        <w:t xml:space="preserve">(2) Der Hersteller hat beim Inverkehrbringen seinen Namen, seine Firma oder seine Marke sowie seine Postanschrift auf dem Produkt anzugeben. Falls dies aufgrund der Größe oder der Art des Produkts nicht möglich ist, sind diese Informationen auf der Verpackung oder in einer dem Produkt beigefügten Unterlage anzugeben. Die Postanschrift muss eine zentrale Stelle bezeichnen, unter der der Hersteller kontaktiert werden kann. Die Kontaktdaten sind in einer Sprache zu verfassen, die vom Verbraucher leicht verstanden werden kann.</w:t>
      </w:r>
    </w:p>
    <w:p>
      <w:r>
        <w:t xml:space="preserve">(3) Der Hersteller stellt sicher, dass dem Produkt eine Gebrauchsanleitung und Sicherheitsinformationen in deutscher Sprache nach Maßgabe des Absatzes 4 beigefügt sind.</w:t>
      </w:r>
    </w:p>
    <w:p>
      <w:r>
        <w:t xml:space="preserve">(4) Alle Kennzeichnungen, die Gebrauchsanleitung und die Sicherheitsinformationen müssen nach den Anforderungen der nach § 3 Absatz 2 zu erlassenden Rechtsverordnung klar, verständlich und deutlich sein.</w:t>
      </w:r>
    </w:p>
    <w:p>
      <w:r>
        <w:t xml:space="preserve">(5) Der Hersteller ist verpflichtet, der Marktüberwachungsbehörde auf deren begründetes Verlangen alle Auskünfte zu erteilen und alle Unterlagen auszuhändigen, die für den Nachweis der Konformität erforderlich sind. Die Auskünfte und die Unterlagen sind in deutscher Sprache oder in einer Sprache, die von der deutschen Marktüberwachungsbehörde leicht verstanden werden kann, zu erteilen und auszuhändigen. Der Hersteller arbeitet mit der Marktüberwachungsbehörde auf deren Verlangen bei allen Maßnahmen zur Herstellung der Konformität bei einem von ihm in den Verkehr gebrachten Produkt mit den geltenden Barrierefreiheitsanforderungen zusammen und stellt insbesondere die Konformität des Produkts mit den geltenden Barrierefreiheitsanforderungen her.</w:t>
      </w:r>
    </w:p>
    <w:p>
      <w:r>
        <w:rPr>
          <w:color w:val="555555"/>
          <w:sz w:val="17"/>
        </w:rPr>
        <w:t xml:space="preserve">Zitiervorschlag: § 7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