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BFSG — Rechtsbehelfe</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Verbraucher hat unter den Voraussetzungen des § 32 Absatz 1 Satz 1 das Recht, einen nach § 15 Absatz 3 des Behindertengleichstellungsgesetzes anerkannten Verband oder eine Stelle nach § 3 Absatz 1 Satz 1 Nummer 1 des Unterlassungsklagengesetzes zu beauftragen, in seinem Namen oder an seiner Stelle Rechtsbehelfe nach Maßgabe der Verwaltungsgerichtsordnung gegen den an ihn gerichteten Bescheid nach § 32 Absatz 3 oder gegen dessen Unterlassen einzulegen. Die Vertretungsbefugnis nach Satz 1 gilt auch vor dem Oberverwaltungsgericht und dem Bundesverwaltungsgericht. Handeln Verbände oder Stellen nach Satz 1 anstelle von Verbrauchern, so können sie den Rechtsstreit auch vor dem Oberverwaltungsgericht und dem Bundesverwaltungsgericht selbst führen. Vor dem Bundesverwaltungsgericht müssen sie durch Personen mit der Befähigung zum Richteramt handeln.</w:t>
      </w:r>
    </w:p>
    <w:p>
      <w:r>
        <w:t xml:space="preserve">(2) Nach § 15 Absatz 3 des Behindertengleichstellungsgesetzes anerkannte Verbände oder Stellen nach § 3 Absatz 1 Satz 1 Nummer 1 des Unterlassungsklagengesetzes können, ohne in eigenen Rechten verletzt zu sein, Rechtsbehelfe nach Maßgabe der Verwaltungsgerichtsordnung gegen einen an sie gerichteten Bescheid oder gegen das Unterlassen einlegen, wenn sie geltend machen, dass</w:t>
      </w:r>
    </w:p>
    <w:p>
      <w:pPr>
        <w:ind w:left="420"/>
      </w:pPr>
      <w:r>
        <w:t xml:space="preserve">1. eine Bestimmung dieses Gesetzes oder eine Bestimmung der aufgrund des § 3 Absatz 2 erlassenen Rechtsverordnung verletzt ist und</w:t>
      </w:r>
    </w:p>
    <w:p>
      <w:pPr>
        <w:ind w:left="420"/>
      </w:pPr>
      <w:r>
        <w:t xml:space="preserve">2. die Verletzung nach Nummer 1 ihren satzungsmäßigen Aufgabenbereich berührt.</w:t>
      </w:r>
    </w:p>
    <w:p>
      <w:r>
        <w:t xml:space="preserve">Sie können den Rechtsstreit auch vor dem Oberverwaltungsgericht selbst führen. Absatz 1 Satz 4 gilt entsprechend.</w:t>
      </w:r>
    </w:p>
    <w:p>
      <w:r>
        <w:rPr>
          <w:color w:val="555555"/>
          <w:sz w:val="17"/>
        </w:rPr>
        <w:t xml:space="preserve">Zitiervorschlag: § 33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