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BFSG — Veröffentlichung von Informationen</w:t>
      </w:r>
    </w:p>
    <w:p>
      <w:r>
        <w:rPr>
          <w:color w:val="555555"/>
          <w:sz w:val="18"/>
        </w:rPr>
        <w:t xml:space="preserve">Barrierefreiheitsstärkungsgesetz</w:t>
      </w:r>
    </w:p>
    <w:p>
      <w:r>
        <w:rPr>
          <w:color w:val="555555"/>
          <w:sz w:val="18"/>
        </w:rPr>
        <w:t xml:space="preserve">Stand: 28.06.2025 (konsolidierte Textfassung, kein amtliches Inkrafttretensdatum)</w:t>
      </w:r>
    </w:p>
    <w:p>
      <w:r>
        <w:t xml:space="preserve">(1) Die Marktüberwachungsbehörde hat die Öffentlichkeit in geeigneter Weise, zum Beispiel auf ihrer Webseite, über ihre Existenz, ihre Zuständigkeiten, die Möglichkeiten der Kontaktaufnahme, ihre Arbeit und ihre Entscheidungen barrierefrei zu informieren.</w:t>
      </w:r>
    </w:p>
    <w:p>
      <w:r>
        <w:t xml:space="preserve">(2) Die Marktüberwachungsbehörde stellt einem Verbraucher auf Antrag die Informationen nach Absatz 1 in einer für ihn wahrnehmbaren Form zur Verfügung. Falls erforderlich, erläutert die Marktüberwachungsbehörde dem Antragsteller die Informationen in einfacher und verständlicher Weise. Ist eine solche Erläuterung für den Antragsteller nicht ausreichend, soll die Marktüberwachungsbehörde die Informationen in Leichter Sprache erläutern.</w:t>
      </w:r>
    </w:p>
    <w:p>
      <w:r>
        <w:rPr>
          <w:color w:val="555555"/>
          <w:sz w:val="17"/>
        </w:rPr>
        <w:t xml:space="preserve">Zitiervorschlag: § 31 BFSG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https://recht.nulegal.eu/gesetze/BFSG/31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