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BFSG — Aufgaben der zentralen Verbindungsstelle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(1) Die zentrale Verbindungsstelle teilt der Europäischen Kommission und den anderen Mitgliedstaaten der Europäischen Union mit:</w:t>
      </w:r>
    </w:p>
    <w:p>
      <w:pPr>
        <w:ind w:left="420"/>
      </w:pPr>
      <w:r>
        <w:t xml:space="preserve">1. die nach § 20 Absatz 2 von den Ländern übermittelte Marktüberwachungsstrategie und</w:t>
      </w:r>
    </w:p>
    <w:p>
      <w:pPr>
        <w:ind w:left="420"/>
      </w:pPr>
      <w:r>
        <w:t xml:space="preserve">2. die Marktüberwachungsbehörden und deren jeweilige Zuständigkeiten.</w:t>
      </w:r>
    </w:p>
    <w:p>
      <w:r>
        <w:t xml:space="preserve">Hierfür greift sie auf das in Artikel 34 der Verordnung (EU) 2019/1020 genannte Informations- und Kommunikationssystem zurück. Die Länder teilen der zentralen Verbindungsstelle die nach Satz 1 Nummer 2 erforderlichen Informationen mit.</w:t>
      </w:r>
    </w:p>
    <w:p>
      <w:r>
        <w:t xml:space="preserve">(2) Die zentrale Verbindungsstelle stellt der Öffentlichkeit eine Zusammenfassung der Marktüberwachungsstrategie zur Verfügung.</w:t>
      </w:r>
    </w:p>
    <w:p>
      <w:r>
        <w:t xml:space="preserve">(3) Die zentrale Verbindungsstelle nimmt in Abstimmung mit den betroffenen Bundesministerien die Aufgaben nach Artikel 31 Absatz 2 Buchstabe a, f, g und m der Verordnung (EU) 2019/1020 im Hinblick auf die Marktüberwachung von Barrierefreiheitsanforderungen für Produkte nach der Richtlinie (EU) 2019/882 wahr.</w:t>
      </w:r>
    </w:p>
    <w:p>
      <w:r>
        <w:rPr>
          <w:color w:val="555555"/>
          <w:sz w:val="17"/>
        </w:rPr>
        <w:t xml:space="preserve">Zitiervorschlag: § 27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