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BFSG — Unterstützungsverpflichtung</w:t>
      </w:r>
    </w:p>
    <w:p>
      <w:r>
        <w:rPr>
          <w:color w:val="555555"/>
          <w:sz w:val="18"/>
        </w:rPr>
        <w:t xml:space="preserve">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t xml:space="preserve">(1) Die Marktüberwachungsbehörden und die Bundesanstalt für Arbeitsschutz und Arbeitsmedizin haben einander zu unterstützen und sich gegenseitig über Maßnahmen nach diesem Gesetz zu informieren.</w:t>
      </w:r>
    </w:p>
    <w:p>
      <w:r>
        <w:t xml:space="preserve">(2) Die Bundesanstalt für Arbeitsschutz und Arbeitsmedizin informiert die Marktüberwachungsbehörden über Meldungen der Europäischen Kommission oder eines anderen Mitgliedstaates der Europäischen Union.</w:t>
      </w:r>
    </w:p>
    <w:p>
      <w:r>
        <w:rPr>
          <w:color w:val="555555"/>
          <w:sz w:val="17"/>
        </w:rPr>
        <w:t xml:space="preserve">Zitiervorschlag: § 25 BFSG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