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BFSG — Maßnahmen bei formaler Nichtkonformität von Produkten</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Stellt die Marktüberwachungsbehörde eine formale Nichtkonformität fest, so fordert sie den Wirtschaftsakteur auf, die formale Nichtkonformität innerhalb einer angemessenen Frist zu korrigieren. § 22 Absatz 2 Satz 2 gilt entsprechend.</w:t>
      </w:r>
    </w:p>
    <w:p>
      <w:r>
        <w:t xml:space="preserve">(2) Eine formale Nichtkonformität liegt vor, wenn</w:t>
      </w:r>
    </w:p>
    <w:p>
      <w:pPr>
        <w:ind w:left="420"/>
      </w:pPr>
      <w:r>
        <w:t xml:space="preserve">1. die CE-Kennzeichnung nicht oder unter Nichteinhaltung der Vorgaben des § 19 angebracht wurde,</w:t>
      </w:r>
    </w:p>
    <w:p>
      <w:pPr>
        <w:ind w:left="420"/>
      </w:pPr>
      <w:r>
        <w:t xml:space="preserve">2. die EU-Konformitätserklärung nach § 18 nicht oder nicht ordnungsgemäß ausgestellt wurde,</w:t>
      </w:r>
    </w:p>
    <w:p>
      <w:pPr>
        <w:ind w:left="420"/>
      </w:pPr>
      <w:r>
        <w:t xml:space="preserve">3. die technischen Unterlagen nicht verfügbar oder nicht vollständig sind,</w:t>
      </w:r>
    </w:p>
    <w:p>
      <w:pPr>
        <w:ind w:left="420"/>
      </w:pPr>
      <w:r>
        <w:t xml:space="preserve">4. die Angaben des Herstellers nach § 7 Absatz 2 oder des Einführers nach § 10 Absatz 1 fehlen, falsch oder unvollständig sind oder</w:t>
      </w:r>
    </w:p>
    <w:p>
      <w:pPr>
        <w:ind w:left="420"/>
      </w:pPr>
      <w:r>
        <w:t xml:space="preserve">5. eine andere formale Verpflichtung nach § 6, § 7, § 9 oder § 10 nicht erfüllt ist.</w:t>
      </w:r>
    </w:p>
    <w:p>
      <w:r>
        <w:t xml:space="preserve">(3) Ergreift der Wirtschaftsakteur innerhalb der nach Absatz 1 gesetzten Frist keine geeigneten Maßnahmen zur Herstellung der Konformität, so trifft die Marktüberwachungsbehörde geeignete Maßnahmen, um die Bereitstellung des Produkts auf dem Markt zu beschränken, oder sie untersagt die Bereitstellung auf dem Markt solange, bis die Konformität hergestellt ist. § 22 Absatz 2 Satz 2 und Absatz 4 Satz 4 und 5 gilt entsprechend.</w:t>
      </w:r>
    </w:p>
    <w:p>
      <w:r>
        <w:rPr>
          <w:color w:val="555555"/>
          <w:sz w:val="17"/>
        </w:rPr>
        <w:t xml:space="preserve">Zitiervorschlag: § 23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