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BFSG — Marktüberwachungsmaßnahmen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Die Marktüberwachung von Produkten erfolgt nach der von den Ländern nach § 20 Absatz 2 Satz 1 entwickelten Marktüberwachungsstrategie und den weiteren Bestimmungen dieses Gesetzes.</w:t>
      </w:r>
    </w:p>
    <w:p>
      <w:r>
        <w:t xml:space="preserve">(2) Für die Marktüberwachung von Produkten gelten Artikel 2 Absatz 3, Artikel 11 Absatz 2, 3 und 5, Artikel 14 Absatz 2, Artikel 16 Absatz 3 Buchstabe g und Absatz 5 sowie die Artikel 17 und 22 der Verordnung (EU) 2019/1020 entsprechend. Die Marktüberwachungsbehörden haben die Befugnisse entsprechend Artikel 14 Absatz 4 Buchstabe a, b, e und j der Verordnung (EU) 2019/1020. Die Befugnisse nach Artikel 14 Absatz 4 Buchstabe e der Verordnung (EU) 2019/1020 bestehen nur zu den üblichen Betriebs- und Geschäftszeiten.</w:t>
      </w:r>
    </w:p>
    <w:p>
      <w:r>
        <w:t xml:space="preserve">(3) Die Marktüberwachungsbehörde prüft für den Fall, dass sich der Hersteller, Einführer oder Händler auf § 16 oder § 17 berufen hat,</w:t>
      </w:r>
    </w:p>
    <w:p>
      <w:pPr>
        <w:ind w:left="420"/>
      </w:pPr>
      <w:r>
        <w:t xml:space="preserve">1. ob der Wirtschaftsakteur die nach der jeweiligen Vorschrift erforderliche Beurteilung durchgeführt hat,</w:t>
      </w:r>
    </w:p>
    <w:p>
      <w:pPr>
        <w:ind w:left="420"/>
      </w:pPr>
      <w:r>
        <w:t xml:space="preserve">2. die Beurteilung einschließlich der ordnungsgemäßen Anwendung der in Anlage 4 genannten Kriterien und</w:t>
      </w:r>
    </w:p>
    <w:p>
      <w:pPr>
        <w:ind w:left="420"/>
      </w:pPr>
      <w:r>
        <w:t xml:space="preserve">3. ob die übrigen Barrierefreiheitsanforderungen der nach § 3 Absatz 2 zu erlassenden Rechtsverordnung eingehalten werden.</w:t>
      </w:r>
    </w:p>
    <w:p>
      <w:r>
        <w:t xml:space="preserve">(4) Die Marktüberwachungsbehörde stellt einem Verbraucher auf Antrag Folgendes in einer für ihn wahrnehmbaren Form zur Verfügung:</w:t>
      </w:r>
    </w:p>
    <w:p>
      <w:pPr>
        <w:ind w:left="420"/>
      </w:pPr>
      <w:r>
        <w:t xml:space="preserve">1. die ihr vorliegenden Informationen darüber, ob ein bestimmter Wirtschaftsakteur die Barrierefreiheitsanforderungen der nach § 3 Absatz 2 zu erlassenden Rechtsverordnung einhält und</w:t>
      </w:r>
    </w:p>
    <w:p>
      <w:pPr>
        <w:ind w:left="420"/>
      </w:pPr>
      <w:r>
        <w:t xml:space="preserve">2. die Beurteilung, die der Wirtschaftsakteur nach § 16 Absatz 1 Satz 2 und § 17 Absatz 1 Satz 2 durchgeführt hat.</w:t>
      </w:r>
    </w:p>
    <w:p>
      <w:r>
        <w:t xml:space="preserve">Soweit dies erforderlich ist, soll die Marktüberwachungsbehörde die ihr vorliegenden Informationen in einfacher und verständlicher Weise erläutern. Ist eine solche Erläuterung nach Satz 2 für den Verbraucher nicht ausreichend, soll die Marktüberwachungsbehörde die Informationen in Leichter Sprache erläutern. Die Verpflichtung nach Satz 1 gilt nicht, wenn die Informationen entsprechend Artikel 17 der Verordnung (EU) Nr. 2019/1020 aus Gründen der Vertraulichkeit nicht erteilt werden können.</w:t>
      </w:r>
    </w:p>
    <w:p>
      <w:r>
        <w:t xml:space="preserve">(5) Menschen mit Hörbehinderungen und Menschen mit Sprachbehinderungen haben das Recht, im Verfahren nach Absatz 4 in Deutscher Gebärdensprache, mit lautsprachbegleitenden Gebärden oder über andere geeignete Kommunikationshilfen mit der Marktüberwachungsbehörde zu kommunizieren. Die Kosten für Kommunikationshilfen sind von der Marktüberwachungsbehörde zu tragen. § 5 der Kommunikationshilfenverordnung vom 17. Juli 2002 (BGBl. I S. 2650), die zuletzt durch Artikel 12 Absatz 2 des Gesetzes vom 21. Dezember 2020 (BGBl. I S. 3229) geändert worden ist, in der jeweils geltenden Fassung gilt entsprechend.</w:t>
      </w:r>
    </w:p>
    <w:p>
      <w:r>
        <w:t xml:space="preserve">(6) Die §§ 10 und 11 des Behindertengleichstellungsgesetzes gelten für das Verfahren nach Absatz 4 entsprechend.</w:t>
      </w:r>
    </w:p>
    <w:p>
      <w:r>
        <w:rPr>
          <w:color w:val="555555"/>
          <w:sz w:val="17"/>
        </w:rPr>
        <w:t xml:space="preserve">Zitiervorschlag: § 21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