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BFSG — Begriffsbestimmungen</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Im Sinne dieses Gesetzes ist oder sind</w:t>
      </w:r>
    </w:p>
    <w:p>
      <w:pPr>
        <w:ind w:left="420"/>
      </w:pPr>
      <w:r>
        <w:t xml:space="preserve">1. „Menschen mit Behinderungen“ Menschen, die langfristige körperliche, seelische, geistige oder Sinnesbeeinträchtigungen haben, welche sie in Wechselwirkung mit einstellungs- und umweltbedingten Barrieren an der gleichberechtigten Teilhabe an der Gesellschaft hindern können; als langfristig gilt ein Zeitraum, der mit hoher Wahrscheinlichkeit länger als sechs Monate andauert;</w:t>
      </w:r>
    </w:p>
    <w:p>
      <w:pPr>
        <w:ind w:left="420"/>
      </w:pPr>
      <w:r>
        <w:t xml:space="preserve">2. „Produkt“ ein Stoff, eine Zubereitung oder eine Ware, der oder die durch einen Fertigungsprozess hergestellt worden ist, mit Ausnahme von Lebensmitteln, Futtermitteln, lebenden Pflanzen und Tieren, Erzeugnissen menschlichen Ursprungs und Erzeugnissen von Pflanzen und Tieren, die unmittelbar mit ihrer künftigen Reproduktion zusammenhängen;</w:t>
      </w:r>
    </w:p>
    <w:p>
      <w:pPr>
        <w:ind w:left="420"/>
      </w:pPr>
      <w:r>
        <w:t xml:space="preserve">3. „Dienstleistung“ eine Dienstleistung im Sinne des Artikels 4 Nummer 1 der Richtlinie 2006/123/EG des Europäischen Parlaments und des Rates vom 12. Dezember 2006 über Dienstleistungen im Binnenmarkt (ABl. L 376 vom 27.12.2006, S. 36);</w:t>
      </w:r>
    </w:p>
    <w:p>
      <w:pPr>
        <w:ind w:left="420"/>
      </w:pPr>
      <w:r>
        <w:t xml:space="preserve">4. „Dienstleistungserbringer“ jede natürliche oder juristische Person oder rechtsfähige Personengesellschaft, die auf dem Unionsmarkt eine Dienstleistung für Verbraucher erbringt oder anbietet, eine solche Dienstleistung zu erbringen;</w:t>
      </w:r>
    </w:p>
    <w:p>
      <w:pPr>
        <w:ind w:left="420"/>
      </w:pPr>
      <w:r>
        <w:t xml:space="preserve">5. „audiovisuelle Mediendienste“ Dienste im Sinne des Artikels 1 Absatz 1 Buchstabe a der Richtlinie 2010/13/EU des Europäischen Parlaments und des Rates vom 10. März 2010 zur Koordinierung bestimmter Rechts- und Verwaltungsvorschriften der Mitgliedstaaten über die Bereitstellung audiovisueller Mediendienste (ABl. L 95 vom 15.4.2010, S. 1; L 263 vom 6.10.2010, S. 15), die durch die Richtlinie (EU) 2018/1808 des Europäischen Parlaments und des Rates vom 14. November 2018 (ABl. L 303 vom 28.11.2018, S. 69) geändert worden ist;</w:t>
      </w:r>
    </w:p>
    <w:p>
      <w:pPr>
        <w:ind w:left="420"/>
      </w:pPr>
      <w:r>
        <w:t xml:space="preserve">6. „Verbraucherendgeräte mit interaktivem Leistungsumfang, die für den Zugang zu audiovisuellen Mediendiensten verwendet werden“ Geräte für Verbraucher mit interaktivem Leistungsumfang, deren Hauptzweck es ist, Zugang zu audiovisuellen Mediendiensten zu bieten;</w:t>
      </w:r>
    </w:p>
    <w:p>
      <w:pPr>
        <w:ind w:left="420"/>
      </w:pPr>
      <w:r>
        <w:t xml:space="preserve">7. „Telekommunikationsdienste" ein Telekommunikationsdienst im Sinne des Artikels 2 Nummer 4 der Richtlinie (EU) 2018/1972 des Europäischen Parlaments und des Rates vom 11. Dezember 2018 über den europäischen Kodex für die elektronische Kommunikation (ABl. L 321 vom 17.12.2018, S. 36; L 334 vom 27.12.2019, S. 164);</w:t>
      </w:r>
    </w:p>
    <w:p>
      <w:pPr>
        <w:ind w:left="420"/>
      </w:pPr>
      <w:r>
        <w:t xml:space="preserve">8. „Text in Echtzeit“ eine Form der textbasierten Kommunikation in Punkt-zu-Punkt-Verbindungen oder bei Mehrpunktverbindungen, wobei der eingegebene Text so versendet wird, dass die Kommunikation vom Nutzer Zeichen für Zeichen als kontinuierlich wahrgenommen wird;</w:t>
      </w:r>
    </w:p>
    <w:p>
      <w:pPr>
        <w:ind w:left="420"/>
      </w:pPr>
      <w:r>
        <w:t xml:space="preserve">9. „Bereitstellung auf dem Markt“ jede entgeltliche oder unentgeltliche Abgabe eines Produkts zum Vertrieb, zum Gebrauch oder zum Verbrauch auf dem Unionsmarkt im Rahmen einer Geschäftstätigkeit;</w:t>
      </w:r>
    </w:p>
    <w:p>
      <w:pPr>
        <w:ind w:left="420"/>
      </w:pPr>
      <w:r>
        <w:t xml:space="preserve">10. „Inverkehrbringen“ die erstmalige Bereitstellung eines Produkts auf dem Unionsmarkt;</w:t>
      </w:r>
    </w:p>
    <w:p>
      <w:pPr>
        <w:ind w:left="420"/>
      </w:pPr>
      <w:r>
        <w:t xml:space="preserve">11. „Hersteller“ jede natürliche oder juristische Person oder rechtsfähige Personengesellschaft, die ein Produkt herstellt oder entwickeln oder herstellen lässt und dieses Produkt unter ihrem eigenen Namen oder ihrer eigenen Marke vermarktet;</w:t>
      </w:r>
    </w:p>
    <w:p>
      <w:pPr>
        <w:ind w:left="420"/>
      </w:pPr>
      <w:r>
        <w:t xml:space="preserve">12. „Bevollmächtigter“ jede in der Europäischen Union ansässige natürliche oder juristische Person oder rechtsfähige Personengesellschaft, die von einem Hersteller schriftlich beauftragt wurde, in seinem Namen bestimmte Aufgaben wahrzunehmen;</w:t>
      </w:r>
    </w:p>
    <w:p>
      <w:pPr>
        <w:ind w:left="420"/>
      </w:pPr>
      <w:r>
        <w:t xml:space="preserve">13. „Einführer“ jede in der Europäischen Union ansässige natürliche oder juristische Person oder rechtsfähige Personengesellschaft, die ein Produkt aus einem Drittstaat auf dem Unionsmarkt in den Verkehr bringt;</w:t>
      </w:r>
    </w:p>
    <w:p>
      <w:pPr>
        <w:ind w:left="420"/>
      </w:pPr>
      <w:r>
        <w:t xml:space="preserve">14. „Händler“ jede natürliche oder juristische Person oder rechtsfähige Personengesellschaft in der Lieferkette, die ein Produkt auf dem Markt bereitstellt, mit Ausnahme des Herstellers oder des Einführers;</w:t>
      </w:r>
    </w:p>
    <w:p>
      <w:pPr>
        <w:ind w:left="420"/>
      </w:pPr>
      <w:r>
        <w:t xml:space="preserve">15. „Wirtschaftsakteur“ ein Hersteller, Bevollmächtigter, Einführer, Händler oder Dienstleistungserbringer;</w:t>
      </w:r>
    </w:p>
    <w:p>
      <w:pPr>
        <w:ind w:left="420"/>
      </w:pPr>
      <w:r>
        <w:t xml:space="preserve">16. „Verbraucher“ jede natürliche Person, die ein unter dieses Gesetz fallendes Produkt oder eine unter dieses Gesetz fallende Dienstleistung zu Zwecken kauft oder empfängt, die überwiegend weder ihrer gewerblichen noch ihrer selbständigen beruflichen Tätigkeit zugerechnet werden können;</w:t>
      </w:r>
    </w:p>
    <w:p>
      <w:pPr>
        <w:ind w:left="420"/>
      </w:pPr>
      <w:r>
        <w:t xml:space="preserve">17. „Kleinstunternehmen“ ein Unternehmen, das weniger als zehn Personen beschäftigt und das entweder einen Jahresumsatz von höchstens 2 Millionen Euro erzielt oder dessen Jahresbilanzsumme sich auf höchstens 2 Millionen Euro beläuft;</w:t>
      </w:r>
    </w:p>
    <w:p>
      <w:pPr>
        <w:ind w:left="420"/>
      </w:pPr>
      <w:r>
        <w:t xml:space="preserve">18. „kleine und mittlere Unternehmen“ Unternehmen, die weniger als 250 Personen beschäftigen und die entweder einen Jahresumsatz von höchstens 50 Millionen Euro erzielen oder deren Jahresbilanzsumme sich auf höchstens 43 Millionen Euro beläuft, mit Ausnahme von Kleinstunternehmen;</w:t>
      </w:r>
    </w:p>
    <w:p>
      <w:pPr>
        <w:ind w:left="420"/>
      </w:pPr>
      <w:r>
        <w:t xml:space="preserve">19. „harmonisierte Norm“ eine harmonisierte Norm im Sinne des Artikels 2 Nummer 1 Buchstabe c der 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w:t>
      </w:r>
    </w:p>
    <w:p>
      <w:pPr>
        <w:ind w:left="420"/>
      </w:pPr>
      <w:r>
        <w:t xml:space="preserve">20. „technische Spezifikation“ eine technische Spezifikation im Sinne des Artikels 2 Nummer 4 der Verordnung (EU) Nr. 1025/2012, die ein Mittel zur Erfüllung der für ein Produkt oder eine Dienstleistung geltenden Barrierefreiheitsanforderungen darstellt;</w:t>
      </w:r>
    </w:p>
    <w:p>
      <w:pPr>
        <w:ind w:left="420"/>
      </w:pPr>
      <w:r>
        <w:t xml:space="preserve">21. „CE-Kennzeichnung“ die Kennzeichnung, durch die der Hersteller erklärt, dass das Produkt den geltenden Anforderungen genügt, die in den Harmonisierungsrechtsvorschriften der Europäischen Union, die ihre Anbringung vorschreiben, festgelegt sind;</w:t>
      </w:r>
    </w:p>
    <w:p>
      <w:pPr>
        <w:ind w:left="420"/>
      </w:pPr>
      <w:r>
        <w:t xml:space="preserve">22. „Marktüberwachungsbehörde“ jede Behörde, die nach Landesrecht für die Durchführung der Marktüberwachung zuständig ist;</w:t>
      </w:r>
    </w:p>
    <w:p>
      <w:pPr>
        <w:ind w:left="420"/>
      </w:pPr>
      <w:r>
        <w:t xml:space="preserve">23. „Rücknahme“ jede Maßnahme, mit der verhindert werden soll, dass ein Produkt, das sich in der Lieferkette befindet, auf dem Markt bereitgestellt wird, oder bewirkt werden soll, dass ein auf dem Markt bereitgestelltes Produkt dem Markt wieder entzogen wird;</w:t>
      </w:r>
    </w:p>
    <w:p>
      <w:pPr>
        <w:ind w:left="420"/>
      </w:pPr>
      <w:r>
        <w:t xml:space="preserve">24. „Bankdienstleistungen für Verbraucher“ die Bereitstellung der folgenden Bank- und Finanzdienstleistungen für Verbraucher:</w:t>
      </w:r>
    </w:p>
    <w:p>
      <w:pPr>
        <w:ind w:left="780"/>
      </w:pPr>
      <w:r>
        <w:t xml:space="preserve">a) Kreditverträge im Sinne der Richtlinie 2008/48/EG des Europäischen Parlaments und des Rates vom 23. April 2008 über Verbraucherkreditverträge und zur Aufhebung der Richtlinie 87/102/EWG des Rates (ABl. L 133 vom 22.5.2008, S. 66), mit der Maßgabe, dass die Höchstgrenze gemäß Artikel 2 Absatz 2 Buchstabe c der Richtlinie 2008/48/EG keine Anwendung findet, oder Kreditverträge im Sinne der Richtlinie 2014/17/EU des Europäischen Parlaments und des Rates vom 4. Februar 2014 über Wohnimmobilienkreditverträge für Verbraucher und zur Änderung der Richtlinien 2008/48/EG und 2013/36/EU und der Verordnung (EU) Nr. 1093/2010 (ABl. L 60 vom 28.2.2014, S. 34);</w:t>
      </w:r>
    </w:p>
    <w:p>
      <w:pPr>
        <w:ind w:left="780"/>
      </w:pPr>
      <w:r>
        <w:t xml:space="preserve">b) Dienste gemäß Anhang I Abschnitt A Nummer 1, 2, 4 und 5 und Abschnitt B Nummer 1, 2, 4 und 5 der Richtlinie 2014/65/EU des Europäischen Parlaments und des Rates vom 15. Mai 2014 über Märkte für Finanzinstrumente sowie zur Änderung der Richtlinien 2002/92/EG und 2011/61/EU (ABl. L 173 vom 12.6.2014, S. 349; L 74 vom 18.3.2015, S. 38; L 188 vom 13.7.2016, S. 28; L 273 vom 8.10.2016, S. 35; L 64 vom 10.3.2017, S. 116; L 278 vom 27.10.2017, S. 56), die zuletzt durch die Verordnung (EU) 2019/2115 (ABl. L 30 vom 11.12.2019, S. 1) geändert worden ist;</w:t>
      </w:r>
    </w:p>
    <w:p>
      <w:pPr>
        <w:ind w:left="780"/>
      </w:pPr>
      <w:r>
        <w:t xml:space="preserve">c) Zahlungsdienste gemäß § 1 Absatz 1 Satz 2 des Zahlungsdiensteaufsichtsgesetzes vom 17. Juli 2017 (BGBl. I S. 2446), das zuletzt durch Artikel 9 Absatz 8 des Gesetzes vom 9. Dezember 2020 (BGBl. I S. 2773) geändert worden ist;</w:t>
      </w:r>
    </w:p>
    <w:p>
      <w:pPr>
        <w:ind w:left="780"/>
      </w:pPr>
      <w:r>
        <w:t xml:space="preserve">d) mit einem Zahlungskonto verbundene Dienste gemäß § 2 Absatz 2 des Zahlungskontengesetzes vom 11. April 2016 (BGBl. I S. 720), das zuletzt durch Artikel 9 Absatz 7 des Gesetzes vom 9. Dezember 2020 (BGBl. I S. 2773) geändert worden ist und</w:t>
      </w:r>
    </w:p>
    <w:p>
      <w:pPr>
        <w:ind w:left="780"/>
      </w:pPr>
      <w:r>
        <w:t xml:space="preserve">e) E-Geld gemäß § 1 Absatz 2 Satz 3 des Zahlungsdiensteaufsichtsgesetzes;</w:t>
      </w:r>
    </w:p>
    <w:p>
      <w:pPr>
        <w:ind w:left="420"/>
      </w:pPr>
      <w:r>
        <w:t xml:space="preserve">25. „Zahlungsterminal“ ein Gerät, dessen Hauptzweck es ist, Zahlungen mithilfe von Zahlungsinstrumenten im Sinne des § 1 Absatz 20 des Zahlungsdiensteaufsichtsgesetzes an einer physischen Verkaufsstelle vorzunehmen, nicht jedoch in einer virtuellen Umgebung;</w:t>
      </w:r>
    </w:p>
    <w:p>
      <w:pPr>
        <w:ind w:left="420"/>
      </w:pPr>
      <w:r>
        <w:t xml:space="preserve">26. „Dienstleistungen im elektronischen Geschäftsverkehr“ digitale Dienste nach § 1 Absatz 4 Nummer 1 des Digitale-Dienste-Gesetzes, die über Webseiten und über Anwendungen auf Mobilgeräten angeboten werden und elektronisch und auf individuelle Anfrage eines Verbrauchers im Hinblick auf den Abschluss eines Verbrauchervertrags erbracht werden;</w:t>
      </w:r>
    </w:p>
    <w:p>
      <w:pPr>
        <w:ind w:left="420"/>
      </w:pPr>
      <w:r>
        <w:t xml:space="preserve">27. „Personenbeförderungsdienste im Luftverkehr“ gewerbliche Passagierflugdienste gemäß Artikel 2 Buchstabe l der Verordnung (EG) Nr. 1107/2006 des Europäischen Parlaments und des Rates vom 5. Juli 2006 über die Rechte von behinderten Flugreisenden und Flugreisenden mit eingeschränkter Mobilität (ABl. L 204 vom 26.7.2006, S. 1; ABl. R 026 vom 26.01.2013, S. 34), wenn von einem Flughafen, der im Hoheitsgebiet eines Mitgliedstaats liegt, abgeflogen, auf einem solchen angekommen oder ein solcher im Transit benutzt wird; einschließlich Flügen ab einem in einem Drittland gelegenen Flughafen zu einem im Hoheitsgebiet eines Mitgliedstaats gelegenen Flughafen, wenn diese Dienste von einem Luftfahrtunternehmen aus der Europäischen Union betrieben werden;</w:t>
      </w:r>
    </w:p>
    <w:p>
      <w:pPr>
        <w:ind w:left="420"/>
      </w:pPr>
      <w:r>
        <w:t xml:space="preserve">28. „Personenbeförderungsdienste im Busverkehr“ Dienstleistungen, die Gegenstand von Artikel 2 Absatz 1 und 2 der Verordnung (EU) Nr. 181/2011 des Europäischen Parlaments und des Rates vom 16. Februar 2011 über die Fahrgastrechte im Kraftomnibusverkehr und zur Änderung der Verordnung (EG) Nr. 2006/2004 (ABl. L 55 vom 28.2.2011, S. 1) sind;</w:t>
      </w:r>
    </w:p>
    <w:p>
      <w:pPr>
        <w:ind w:left="420"/>
      </w:pPr>
      <w:r>
        <w:t xml:space="preserve">29. „Personenbeförderungsdienste im Schienenverkehr“ alle Eisenbahnfahrten und -dienstleistungen im Sinne von Artikel 2 Absatz 1 der Verordnung (EG) Nr. 1371/2007 des Europäischen Parlaments und des Rates vom 23. Oktober 2007 über die Rechte und Pflichten der Fahrgäste im Eisenbahnverkehr (ABl. L 315 vom 3.12.2007, S. 14) mit Ausnahme der in Artikel 2 Absatz 2 der genannten Verordnung genannten Dienstleistungen;</w:t>
      </w:r>
    </w:p>
    <w:p>
      <w:pPr>
        <w:ind w:left="420"/>
      </w:pPr>
      <w:r>
        <w:t xml:space="preserve">30. „Personenbeförderungsdienste im Schiffsverkehr“ alle Dienstleistungen für Fahrgäste im Sinne von Artikel 2 Absatz 1 der Verordnung (EU) Nr. 1177/2010 des Europäischen Parlaments und des Rates vom 24. November 2010 über die Fahrgastrechte im See- und Binnenschiffsverkehr und zur Änderung der Verordnung (EG) Nr. 2006/2004 (ABl. L 334 vom 17.12.2010, S. 1) mit Ausnahme der in Artikel 2 Absatz 2 der genannten Verordnung genannten Dienstleistungen;</w:t>
      </w:r>
    </w:p>
    <w:p>
      <w:pPr>
        <w:ind w:left="420"/>
      </w:pPr>
      <w:r>
        <w:t xml:space="preserve">31. „Stadt- und Vorortverkehrsdienste“ Verkehrsdienste mit den Verkehrsmitteln Eisenbahn, Bus, U-Bahn, Straßenbahn und Oberleitungsomnibus, deren Hauptzweck es ist, die Verkehrsbedürfnisse eines Stadtgebietes oder eines, auch grenzüberschreitenden, Ballungsraumes sowie die Verkehrsbedürfnisse zwischen einem Stadtgebiet oder Ballungsraum und dem Umland abzudecken;</w:t>
      </w:r>
    </w:p>
    <w:p>
      <w:pPr>
        <w:ind w:left="420"/>
      </w:pPr>
      <w:r>
        <w:t xml:space="preserve">32. „Regionalverkehrsdienste“ Verkehrsdienste mit den Verkehrsmitteln Eisenbahn, Bus, U-Bahn, Straßenbahn und Oberleitungsomnibus, deren Hauptzweck es ist, die Verkehrsbedürfnisse einer, auch grenzüberschreitenden, Region abzudecken;</w:t>
      </w:r>
    </w:p>
    <w:p>
      <w:pPr>
        <w:ind w:left="420"/>
      </w:pPr>
      <w:r>
        <w:t xml:space="preserve">33. „assistive Technologien“ jedes Element, Gerät oder Produktsystem, einschließlich Software,</w:t>
      </w:r>
    </w:p>
    <w:p>
      <w:pPr>
        <w:ind w:left="780"/>
      </w:pPr>
      <w:r>
        <w:t xml:space="preserve">a) das genutzt wird, um die funktionellen Fähigkeiten von Menschen mit Behinderungen zu erhöhen, aufrechtzuerhalten, zu ersetzen oder zu verbessern, oder</w:t>
      </w:r>
    </w:p>
    <w:p>
      <w:pPr>
        <w:ind w:left="780"/>
      </w:pPr>
      <w:r>
        <w:t xml:space="preserve">b) das der Linderung und dem Ausgleich von Behinderungen, Beeinträchtigungen der Aktivität oder Beeinträchtigungen der Teilhabe von Menschen mit Behinderungen dient;</w:t>
      </w:r>
    </w:p>
    <w:p>
      <w:pPr>
        <w:ind w:left="420"/>
      </w:pPr>
      <w:r>
        <w:t xml:space="preserve">34. „Betriebssystem“ die Software, die unter anderem die Schnittstelle zur peripheren Hardware steuert, Aufgaben plant, Speicherplatz zuweist und dem Verbraucher eine Standardschnittstelle anzeigt, wenn kein Anwenderprogramm läuft, einschließlich einer grafischen Nutzerschnittstelle, unabhängig davon, ob diese Software integraler Bestandteil der Hardware für Universalrechner für Verbraucher ist oder als externe Software zur Ausführung auf der Hardware für Universalrechner für Verbraucher bestimmt ist; ausgeschlossen sind Lader eines Betriebssystems, ein BIOS oder eine andere Firmware, die beim Hochfahren oder beim Installieren des Betriebssystems erforderlich ist;</w:t>
      </w:r>
    </w:p>
    <w:p>
      <w:pPr>
        <w:ind w:left="420"/>
      </w:pPr>
      <w:r>
        <w:t xml:space="preserve">35. „Hardwaresystem für Universalrechner für Verbraucher“ die Kombination von Hardware,</w:t>
      </w:r>
    </w:p>
    <w:p>
      <w:pPr>
        <w:ind w:left="780"/>
      </w:pPr>
      <w:r>
        <w:t xml:space="preserve">a) die einen vollständigen Computer bildet und durch ihren Mehrzweckcharakter und ihre Fähigkeit gekennzeichnet ist, mit der geeigneten Software die vom Verbraucher geforderten üblichen Computeraufgaben durchzuführen, und</w:t>
      </w:r>
    </w:p>
    <w:p>
      <w:pPr>
        <w:ind w:left="780"/>
      </w:pPr>
      <w:r>
        <w:t xml:space="preserve">b) dazu bestimmt ist, von Verbrauchern bedient zu werden; einschließlich Personal Computer, insbesondere Desktops, Notebooks, Smartphones und Tablets;</w:t>
      </w:r>
    </w:p>
    <w:p>
      <w:pPr>
        <w:ind w:left="420"/>
      </w:pPr>
      <w:r>
        <w:t xml:space="preserve">36. „interaktiver Leistungsumfang“ die Funktionalität zur Unterstützung der Interaktion zwischen Mensch und Gerät, um die Verarbeitung und Übertragung von Daten, Sprache oder Video oder einer beliebigen Kombination daraus zu ermöglichen;</w:t>
      </w:r>
    </w:p>
    <w:p>
      <w:pPr>
        <w:ind w:left="420"/>
      </w:pPr>
      <w:r>
        <w:t xml:space="preserve">37. „E-Book und hierfür bestimmte Software“</w:t>
      </w:r>
    </w:p>
    <w:p>
      <w:pPr>
        <w:ind w:left="780"/>
      </w:pPr>
      <w:r>
        <w:t xml:space="preserve">a) einen Dienst, der in der Bereitstellung digitaler Dateien besteht, die eine elektronische Fassung eines Buches übermitteln und Zugriff, Blättern, Lektüre und Nutzung ermöglichen, und</w:t>
      </w:r>
    </w:p>
    <w:p>
      <w:pPr>
        <w:ind w:left="780"/>
      </w:pPr>
      <w:r>
        <w:t xml:space="preserve">b) die Software, die speziell auf Zugriff, Navigieren, Lektüre und Nutzung der betreffenden digitalen Dateien ausgelegt ist, einschließlich Dienstleistungen und mobiler Anwendungen, die auf Mobilgeräten angeboten werden und ausgenommen Software für E-Book-Lesegeräte nach Nummer 38;</w:t>
      </w:r>
    </w:p>
    <w:p>
      <w:pPr>
        <w:ind w:left="420"/>
      </w:pPr>
      <w:r>
        <w:t xml:space="preserve">38. „E-Book-Lesegerät“ ein spezielles Gerät, einschließlich Hardware und Software, das für Zugriff, Navigieren, Lektüre und Nutzung von E-Book-Dateien verwendet wird;</w:t>
      </w:r>
    </w:p>
    <w:p>
      <w:pPr>
        <w:ind w:left="420"/>
      </w:pPr>
      <w:r>
        <w:t xml:space="preserve">39. „elektronische Tickets“ Systeme, in denen eine Fahrberechtigung in Form eines Fahrscheins für eine einfache Fahrt oder mehrere Fahrten, eines Abonnements oder eines Fahrguthabens nicht auf Papier gedruckt wird, sondern elektronisch auf einem physischen Fahrausweis oder einem anderen Gerät gespeichert wird;</w:t>
      </w:r>
    </w:p>
    <w:p>
      <w:pPr>
        <w:ind w:left="420"/>
      </w:pPr>
      <w:r>
        <w:t xml:space="preserve">40. „elektronische Ticketdienste“ Systeme, in denen Fahrberechtigungen mithilfe eines Geräts mit interaktivem Leistungsumfang unter anderem online erworben und dem Käufer elektronisch übermittelt werden, damit sie in Papierform ausgedruckt oder mithilfe eines Geräts mit interaktivem Leistungsumfang während der Fahrt angezeigt werden können;</w:t>
      </w:r>
    </w:p>
    <w:p>
      <w:pPr>
        <w:ind w:left="420"/>
      </w:pPr>
      <w:r>
        <w:t xml:space="preserve">41. „Ingebrauchnahme“ die erstmalige Eröffnung der Nutzungsmöglichkeit eines Selbstbedienungsterminals.</w:t>
      </w:r>
    </w:p>
    <w:p>
      <w:r>
        <w:rPr>
          <w:color w:val="555555"/>
          <w:sz w:val="17"/>
        </w:rPr>
        <w:t xml:space="preserve">Zitiervorschlag: § 2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